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41ED" w:rsidRPr="007441ED" w:rsidRDefault="007441ED" w:rsidP="007441ED">
      <w:pPr>
        <w:spacing w:after="300" w:line="240" w:lineRule="auto"/>
        <w:rPr>
          <w:rFonts w:ascii="Inter" w:eastAsia="Times New Roman" w:hAnsi="Inter" w:cs="Times New Roman"/>
          <w:color w:val="222222"/>
          <w:sz w:val="24"/>
          <w:szCs w:val="24"/>
          <w:lang w:eastAsia="ru-RU"/>
        </w:rPr>
      </w:pPr>
      <w:r w:rsidRPr="007441ED">
        <w:rPr>
          <w:rFonts w:ascii="Inter" w:eastAsia="Times New Roman" w:hAnsi="Inter" w:cs="Times New Roman"/>
          <w:b/>
          <w:bCs/>
          <w:color w:val="222222"/>
          <w:sz w:val="24"/>
          <w:szCs w:val="24"/>
          <w:lang w:eastAsia="ru-RU"/>
        </w:rPr>
        <w:t>Типичные нарушения законодательства об образовании</w:t>
      </w:r>
    </w:p>
    <w:p w:rsidR="007441ED" w:rsidRPr="007441ED" w:rsidRDefault="007441ED" w:rsidP="007441ED">
      <w:pPr>
        <w:spacing w:after="300" w:line="240" w:lineRule="auto"/>
        <w:rPr>
          <w:rFonts w:ascii="Inter" w:eastAsia="Times New Roman" w:hAnsi="Inter" w:cs="Times New Roman"/>
          <w:color w:val="222222"/>
          <w:sz w:val="24"/>
          <w:szCs w:val="24"/>
          <w:lang w:eastAsia="ru-RU"/>
        </w:rPr>
      </w:pPr>
      <w:r w:rsidRPr="007441ED">
        <w:rPr>
          <w:rFonts w:ascii="Inter" w:eastAsia="Times New Roman" w:hAnsi="Inter" w:cs="Times New Roman"/>
          <w:color w:val="222222"/>
          <w:sz w:val="24"/>
          <w:szCs w:val="24"/>
          <w:lang w:eastAsia="ru-RU"/>
        </w:rPr>
        <w:t>ТИПИЧНЫЕ НАРУШЕНИЯ</w:t>
      </w:r>
    </w:p>
    <w:p w:rsidR="007441ED" w:rsidRPr="007441ED" w:rsidRDefault="007441ED" w:rsidP="007441ED">
      <w:pPr>
        <w:spacing w:after="300" w:line="240" w:lineRule="auto"/>
        <w:rPr>
          <w:rFonts w:ascii="Inter" w:eastAsia="Times New Roman" w:hAnsi="Inter" w:cs="Times New Roman"/>
          <w:color w:val="222222"/>
          <w:sz w:val="24"/>
          <w:szCs w:val="24"/>
          <w:lang w:eastAsia="ru-RU"/>
        </w:rPr>
      </w:pPr>
      <w:r w:rsidRPr="007441ED">
        <w:rPr>
          <w:rFonts w:ascii="Inter" w:eastAsia="Times New Roman" w:hAnsi="Inter" w:cs="Times New Roman"/>
          <w:color w:val="222222"/>
          <w:sz w:val="24"/>
          <w:szCs w:val="24"/>
          <w:lang w:eastAsia="ru-RU"/>
        </w:rPr>
        <w:t>законодательства об образовании, допускаемые субъектами хозяйствования частной формы собственности, в рамках оказания образовательных услуг (на 01.08.2025)</w:t>
      </w:r>
    </w:p>
    <w:tbl>
      <w:tblPr>
        <w:tblW w:w="87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4396"/>
        <w:gridCol w:w="3781"/>
      </w:tblGrid>
      <w:tr w:rsidR="007441ED" w:rsidRPr="007441ED" w:rsidTr="007441ED">
        <w:trPr>
          <w:trHeight w:val="726"/>
          <w:tblHeader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 в ходе мониторинга нарушения (недостатки)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нормативных правовых актов (структурный элемент, дата, номер, НПА)</w:t>
            </w:r>
          </w:p>
        </w:tc>
      </w:tr>
      <w:tr w:rsidR="007441ED" w:rsidRPr="007441ED" w:rsidTr="007441ED">
        <w:trPr>
          <w:trHeight w:val="363"/>
        </w:trPr>
        <w:tc>
          <w:tcPr>
            <w:tcW w:w="0" w:type="auto"/>
            <w:gridSpan w:val="3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НАРУШЕНИЯ (НЕДОСТАТКИ)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уведомляются местные исполнительные и распорядительные органы, осуществляющие контроль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обеспечением качества образования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вторая пункта 4 статьи 26 Кодекса Республики Беларусь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 (далее – Кодекс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образовании)</w:t>
            </w:r>
          </w:p>
        </w:tc>
      </w:tr>
      <w:tr w:rsidR="007441ED" w:rsidRPr="007441ED" w:rsidTr="007441ED">
        <w:trPr>
          <w:trHeight w:val="6538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соблюдаются санитарно-эпидемиологические требования. В том числе отсутствуют санитарно-гигиенические заключения (положительные) о соответствии капитальных строений (зданий, сооружений), изолированных помещений, их частей, необходимых для осуществления образовательной деятельности требованиям законодательства в области санитарно-эпидемиологического благополучия населения, и (или)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работы, услуги, представляющие потенциальную опасность для жизни и здоровья населения (образование)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3.3 пункта 3 статьи 27 Кодекса об образовании; статья 31 Закона Республики Беларусь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07.01.2012 № 340-З «О санитарно-эпидемиологическом благополучии населения»; подпункт 3.5 пункта 3 Декрета Президента Республики Беларусь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23.11.2017 № 7 «О развитии предпринимательства» пункт 7 Правил безопасности организации образовательного процесса, организации воспитательного процесса при реализации образовательной программы дополнительного образования детей и молодежи, утвержденные постановлением Министерства образования Республики Беларусь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03.08.2022  № 227 (далее – Правила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абзац третий пункта 6 Правил 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организации образовательного процесса при реализации образовательных программ дополнительного образования взрослых, утвержденные постановлением Министерства образования Республики Беларусь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03.08.2022 № 227 (далее – Правила безопасности ДОВ)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соблюдаются противопожарные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иные требования к оборудованию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содержанию зданий и помещений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седьмой пункта 17 Правил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абзац третий пункта 6 Правил безопасности ДОВ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создается доступная среда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организации безопасного пребывания с учетом комплексного подхода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8 Правил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абзац шестой пункта 6 Правил безопасности ДОВ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разрабатывается учебно-методическая документация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 статьи 86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 подпункт 3.2 пункта 3 статьи 27 Кодекса об образовании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разрабатывается программно-планирующая документация воспитания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4 и 5 статьи 87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</w:t>
            </w:r>
          </w:p>
        </w:tc>
      </w:tr>
      <w:tr w:rsidR="007441ED" w:rsidRPr="007441ED" w:rsidTr="007441ED">
        <w:trPr>
          <w:trHeight w:val="1453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должностей педагогических работников, </w:t>
            </w:r>
            <w:proofErr w:type="gram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  на</w:t>
            </w:r>
            <w:proofErr w:type="gram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основании трудового договора, не соответствуют установленным требованиям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28 Единого квалификационного справочника должностей служащих (ЕКСД) «Должности служащих, занятых в образовании», утвержденный постановлением Минтруда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соцзащиты от </w:t>
            </w:r>
            <w:proofErr w:type="gram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  №</w:t>
            </w:r>
            <w:proofErr w:type="gram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69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обеспечивается контроль ограничений на занятия соответствующих должностей при приеме на работу, заключении гражданско-правового договора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абзацы 2 и 3 пункта 4 статьи 51 Кодекса об образовании; часть 3 статьи 27-1 Закона Республики Беларусь «О правах ребенка»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19.11.1993 № 257-XII </w:t>
            </w:r>
            <w:r w:rsidRPr="007441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 обучении несовершеннолетних)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 контрольные цифры приема с учетом санитарно-эпидемиологических требований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 и 3 статьи 58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</w:t>
            </w:r>
          </w:p>
        </w:tc>
      </w:tr>
      <w:tr w:rsidR="007441ED" w:rsidRPr="007441ED" w:rsidTr="007441ED">
        <w:trPr>
          <w:trHeight w:val="181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Заключенные договоры в сфере образования (договоры об оказании услуг при реализации образовательных программ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платной основе) не соответствуют типовой форме договоров в сфере образования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66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образовании; приложение 10 к постановлению Министерства образования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09.09.2022 №297 «О типовых формах договоров в сфере образования»</w:t>
            </w:r>
          </w:p>
        </w:tc>
      </w:tr>
      <w:tr w:rsidR="007441ED" w:rsidRPr="007441ED" w:rsidTr="007441ED">
        <w:trPr>
          <w:trHeight w:val="1453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размещаются в доступных для ознакомления местах либо в глобальной компьютерной сети Интернет на официальном сайте списки обучающихся, принятых (зачисленных) для получения образования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56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 решения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прекращении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68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создается комиссия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разрешению конфликта интересов педагогического работника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35 Кодекса об образовании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 порядок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периодичность проведения самоконтроля за обеспечением качества образования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117 Кодекса об образовании</w:t>
            </w:r>
          </w:p>
        </w:tc>
      </w:tr>
      <w:tr w:rsidR="007441ED" w:rsidRPr="007441ED" w:rsidTr="007441ED">
        <w:trPr>
          <w:trHeight w:val="217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наименованиях юридических лиц,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являющихся учреждениями образования, используются слова «оздоровительный лагерь», «детский сад», «школа» (кроме организаций физической культуры и спорта), «гимназия», «лицей», «училище», «колледж», «университет», «институт», «академия»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20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образовании; подпункт 1.1. пункта 1 Указа Президента Республики Беларусь от 19.06.2006 № 402 «О некоторых мерах по упорядочению использования слова «академия», присуждения ученых степеней, присвоения ученых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академических ученых званий»</w:t>
            </w:r>
          </w:p>
        </w:tc>
      </w:tr>
      <w:tr w:rsidR="007441ED" w:rsidRPr="007441ED" w:rsidTr="007441ED">
        <w:trPr>
          <w:trHeight w:val="1453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рекламе предоставляемых услуг используются слова «оздоровительный лагерь», «детский сад», «школа» (кроме организаций физической культуры и спорта), «гимназия», «лицей», «училище», «колледж», «университет», «институт», «академия»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четвертый пункта 9 статьи 10 Закона Республики Беларусь от </w:t>
            </w:r>
            <w:proofErr w:type="gram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10.05.2007  №</w:t>
            </w:r>
            <w:proofErr w:type="gram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225-З «О рекламе»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gridSpan w:val="3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(НЕДОСТАТКИ) ПРИМЕНИТЕЛЬНО К СУБЪЕКТАМ ХОЗЯЙСТВАНИЯ, РЕАЛИЗУЮЩИМ ОБРАЗОВАТЕЛЬНУЮ ПРОГРАММУ ДОПОЛНИТЕЛЬНОГО ДЕТЕЙ И МОЛОДЕЖИ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уставах субъектов хозяйствования не определен порядок организации образовательного и воспитательного процессов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5 Правил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определяется структура учебного года, с учетом установленных санитарно-эпидемиологических требований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пункта 2 статьи 229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  </w:t>
            </w:r>
          </w:p>
        </w:tc>
      </w:tr>
      <w:tr w:rsidR="007441ED" w:rsidRPr="007441ED" w:rsidTr="007441ED">
        <w:trPr>
          <w:trHeight w:val="217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объединений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интересам с базовым уровнем изучения образовательной области, темы, учебного предмета или учебной дисциплины не представляются на согласование структурным подразделениям местных исполнительных и распорядительных органов, осуществляющих государственно-властные полномочия в сфере образования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пункта 7 статьи 235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образовании; пункт 38 Положения 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программы объединений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интересам не включаются вопросы безопасной жизнедеятельности обучающихся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пятый пункта 18 Правил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 субъекта хозяйствования не определяются сроки приема (зачисления)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39 Положения 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(зачисление) лиц для получения дополнительного образования детей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молодежи осуществляется без принятия заявлений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230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прием (зачисление) детей в возрасте до двух лет для получения дополнительного образования детей и молодежи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229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  </w:t>
            </w:r>
          </w:p>
        </w:tc>
      </w:tr>
      <w:tr w:rsidR="007441ED" w:rsidRPr="007441ED" w:rsidTr="007441ED">
        <w:trPr>
          <w:trHeight w:val="1453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создается приемная комиссия для проверки способностей для освоения содержания образовательной программы дополнительного образования детей и молодежи по художественному профилю, в том числе по направлению деятельности «Хореография»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3 и 4 статьи 230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образовании; пункт 42 Положения 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217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разрабатываются критерии оценки уровня развития способностей в </w:t>
            </w:r>
            <w:proofErr w:type="gram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  проверки</w:t>
            </w:r>
            <w:proofErr w:type="gram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для освоения содержания образовательной программы дополнительного образования детей и молодежи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художественному профилю, в том числе по направлению деятельности «Хореография»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41 Положения 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363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издаются приказы о приеме (зачисление) лиц на обучение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44 Положения 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разрабатываются и не </w:t>
            </w:r>
            <w:proofErr w:type="gram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ведутся  журналы</w:t>
            </w:r>
            <w:proofErr w:type="gram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планирования и учета работы объединения по интересам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19 Положения 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 в течение учебного года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проводится воспитательная работа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21 и 22 Положения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разрабатываются и (или)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утверждаются руководителем расписания занятий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18 Положения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учреждении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181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информационном стенде и на официальном сайте не размещаются правила безопасности при организации образовательного процесса, организации воспитательного процесса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реализации образовательной программы дополнительного образования детей и молодежи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13 Правил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определяется уполномоченное лицо за контролем пропускного режима в дневное время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11 Правил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363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разрабатывается инструкция о пропускном режиме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20 Правил безопасности </w:t>
            </w:r>
            <w:proofErr w:type="spell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ДОДиМ</w:t>
            </w:r>
            <w:proofErr w:type="spellEnd"/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gridSpan w:val="3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(НЕДОСТАТКИ) ПРИМЕНИТЕЛЬНО К СУБЪЕКТАМ ХОЗЯЙСТВАНИЯ, РЕАЛИЗУЮЩИМ ОБРАЗОВАТЕЛЬНЫЕ ПРОГРАММЫ ДОПОЛНИТЕЛЬНОГО ОБРАЗОВАНИЯ ВЗРОСЛЫХ</w:t>
            </w:r>
          </w:p>
        </w:tc>
      </w:tr>
      <w:tr w:rsidR="007441ED" w:rsidRPr="007441ED" w:rsidTr="007441ED">
        <w:trPr>
          <w:trHeight w:val="1453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издаются приказы о приеме (зачисление) лиц на обучение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31 Положения об учреждении дополнительного образования взрослых, утвержденное постановлением Министерства образования Республики Беларусь  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10.10.2022 № 379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разрабатывается  инструкция</w:t>
            </w:r>
            <w:proofErr w:type="gram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пропускном режиме </w:t>
            </w:r>
            <w:r w:rsidRPr="007441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(для юридических лиц)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 Правил безопасности ДОВ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используемое в образовательном и воспитательном процессах, не укомплектовано эксплуатационными документами 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организаций-изготовителей </w:t>
            </w:r>
            <w:r w:rsidRPr="007441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(для юридических лиц)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 11 Правил безопасности ДОВ</w:t>
            </w:r>
          </w:p>
        </w:tc>
      </w:tr>
      <w:tr w:rsidR="007441ED" w:rsidRPr="007441ED" w:rsidTr="007441ED">
        <w:trPr>
          <w:trHeight w:val="1089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обеспечивается безопасность участников образовательного </w:t>
            </w:r>
            <w:proofErr w:type="gramStart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  при</w:t>
            </w:r>
            <w:proofErr w:type="gramEnd"/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воспитательной работы во внеучебное время </w:t>
            </w:r>
            <w:r w:rsidRPr="007441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(для юридических лиц)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Правил безопасности ДОВ</w:t>
            </w:r>
          </w:p>
        </w:tc>
      </w:tr>
      <w:tr w:rsidR="007441ED" w:rsidRPr="007441ED" w:rsidTr="007441ED">
        <w:trPr>
          <w:trHeight w:val="726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выдаются документы государственного образца, подтверждающие освоение содержания соответствующей образовательной программы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91 Кодекса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</w:t>
            </w:r>
          </w:p>
        </w:tc>
      </w:tr>
      <w:tr w:rsidR="007441ED" w:rsidRPr="007441ED" w:rsidTr="007441ED">
        <w:trPr>
          <w:trHeight w:val="2542"/>
        </w:trPr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ведется книга учета и выдачи документов об обучении</w:t>
            </w:r>
          </w:p>
        </w:tc>
        <w:tc>
          <w:tcPr>
            <w:tcW w:w="0" w:type="auto"/>
            <w:tcBorders>
              <w:top w:val="single" w:sz="6" w:space="0" w:color="1F335F"/>
              <w:left w:val="single" w:sz="6" w:space="0" w:color="1F335F"/>
              <w:bottom w:val="single" w:sz="6" w:space="0" w:color="1F335F"/>
              <w:right w:val="single" w:sz="6" w:space="0" w:color="1F335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441ED" w:rsidRPr="007441ED" w:rsidRDefault="007441ED" w:rsidP="007441E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100 и 102 Инструкции о порядке заполнения документов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образовании, приложений к ним, документов об обучении, учета</w:t>
            </w:r>
            <w:r w:rsidRPr="007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19.08.2022 № 274</w:t>
            </w:r>
          </w:p>
        </w:tc>
      </w:tr>
    </w:tbl>
    <w:p w:rsidR="00A10A9C" w:rsidRDefault="00A10A9C"/>
    <w:sectPr w:rsidR="00A1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ED"/>
    <w:rsid w:val="003A2A42"/>
    <w:rsid w:val="007441ED"/>
    <w:rsid w:val="00A1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240CE-A9C7-442C-AE7E-5510019A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black-color">
    <w:name w:val="has-black-color"/>
    <w:basedOn w:val="a"/>
    <w:rsid w:val="0074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41ED"/>
    <w:rPr>
      <w:b/>
      <w:bCs/>
    </w:rPr>
  </w:style>
  <w:style w:type="paragraph" w:styleId="a4">
    <w:name w:val="Normal (Web)"/>
    <w:basedOn w:val="a"/>
    <w:uiPriority w:val="99"/>
    <w:semiHidden/>
    <w:unhideWhenUsed/>
    <w:rsid w:val="0074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441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</cp:revision>
  <dcterms:created xsi:type="dcterms:W3CDTF">2025-09-25T05:20:00Z</dcterms:created>
  <dcterms:modified xsi:type="dcterms:W3CDTF">2025-09-25T06:55:00Z</dcterms:modified>
</cp:coreProperties>
</file>