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52E" w:rsidRDefault="00E35D56">
      <w:pPr>
        <w:spacing w:line="1" w:lineRule="exact"/>
      </w:pPr>
      <w:r>
        <w:pict>
          <v:rect id="_x0000_s1027" style="position:absolute;margin-left:0;margin-top:0;width:595pt;height:842pt;z-index:-251658752;mso-position-horizontal-relative:page;mso-position-vertical-relative:page" fillcolor="#fdfdfd" stroked="f">
            <w10:wrap anchorx="page" anchory="page"/>
          </v:rect>
        </w:pict>
      </w:r>
    </w:p>
    <w:p w:rsidR="00BF052E" w:rsidRPr="00D80D1D" w:rsidRDefault="00BD4F0F">
      <w:pPr>
        <w:pStyle w:val="1"/>
        <w:spacing w:before="240"/>
        <w:ind w:firstLine="0"/>
        <w:jc w:val="center"/>
        <w:rPr>
          <w:sz w:val="30"/>
          <w:szCs w:val="30"/>
        </w:rPr>
      </w:pPr>
      <w:r w:rsidRPr="00D80D1D">
        <w:rPr>
          <w:b/>
          <w:bCs/>
          <w:sz w:val="30"/>
          <w:szCs w:val="30"/>
        </w:rPr>
        <w:t>Сведения о планируемой деятельности</w:t>
      </w:r>
    </w:p>
    <w:p w:rsidR="00BF052E" w:rsidRPr="00D80D1D" w:rsidRDefault="00BD4F0F">
      <w:pPr>
        <w:pStyle w:val="1"/>
        <w:ind w:firstLine="0"/>
        <w:jc w:val="both"/>
        <w:rPr>
          <w:sz w:val="30"/>
          <w:szCs w:val="30"/>
        </w:rPr>
      </w:pPr>
      <w:r w:rsidRPr="00D80D1D">
        <w:rPr>
          <w:b/>
          <w:bCs/>
          <w:sz w:val="30"/>
          <w:szCs w:val="30"/>
        </w:rPr>
        <w:t xml:space="preserve">Заказчик планируемой деятельности: </w:t>
      </w:r>
      <w:r w:rsidRPr="00D80D1D">
        <w:rPr>
          <w:sz w:val="30"/>
          <w:szCs w:val="30"/>
        </w:rPr>
        <w:t>филиал «СЖБ №3 г. Витебска» ОАО «</w:t>
      </w:r>
      <w:proofErr w:type="spellStart"/>
      <w:r w:rsidRPr="00D80D1D">
        <w:rPr>
          <w:sz w:val="30"/>
          <w:szCs w:val="30"/>
        </w:rPr>
        <w:t>Кричевцементношифер</w:t>
      </w:r>
      <w:proofErr w:type="spellEnd"/>
      <w:r w:rsidRPr="00D80D1D">
        <w:rPr>
          <w:sz w:val="30"/>
          <w:szCs w:val="30"/>
        </w:rPr>
        <w:t>»</w:t>
      </w:r>
    </w:p>
    <w:p w:rsidR="00D80D1D" w:rsidRDefault="00BD4F0F">
      <w:pPr>
        <w:pStyle w:val="1"/>
        <w:ind w:firstLine="0"/>
        <w:jc w:val="both"/>
        <w:rPr>
          <w:sz w:val="30"/>
          <w:szCs w:val="30"/>
        </w:rPr>
      </w:pPr>
      <w:r w:rsidRPr="00D80D1D">
        <w:rPr>
          <w:b/>
          <w:bCs/>
          <w:sz w:val="30"/>
          <w:szCs w:val="30"/>
        </w:rPr>
        <w:t xml:space="preserve">Юридический адрес: </w:t>
      </w:r>
      <w:r w:rsidRPr="00D80D1D">
        <w:rPr>
          <w:sz w:val="30"/>
          <w:szCs w:val="30"/>
        </w:rPr>
        <w:t>210604, Республика Беларусь, г</w:t>
      </w:r>
      <w:proofErr w:type="gramStart"/>
      <w:r w:rsidRPr="00D80D1D">
        <w:rPr>
          <w:sz w:val="30"/>
          <w:szCs w:val="30"/>
        </w:rPr>
        <w:t>.В</w:t>
      </w:r>
      <w:proofErr w:type="gramEnd"/>
      <w:r w:rsidRPr="00D80D1D">
        <w:rPr>
          <w:sz w:val="30"/>
          <w:szCs w:val="30"/>
        </w:rPr>
        <w:t>итебск, ул.Горбачевского,</w:t>
      </w:r>
      <w:r w:rsidR="00D80D1D" w:rsidRPr="00D80D1D">
        <w:rPr>
          <w:sz w:val="30"/>
          <w:szCs w:val="30"/>
        </w:rPr>
        <w:t xml:space="preserve"> 1</w:t>
      </w:r>
      <w:r w:rsidRPr="00D80D1D">
        <w:rPr>
          <w:sz w:val="30"/>
          <w:szCs w:val="30"/>
        </w:rPr>
        <w:t xml:space="preserve"> </w:t>
      </w:r>
    </w:p>
    <w:p w:rsidR="00BF052E" w:rsidRPr="00D80D1D" w:rsidRDefault="00BD4F0F">
      <w:pPr>
        <w:pStyle w:val="1"/>
        <w:ind w:firstLine="0"/>
        <w:jc w:val="both"/>
        <w:rPr>
          <w:sz w:val="30"/>
          <w:szCs w:val="30"/>
        </w:rPr>
      </w:pPr>
      <w:r w:rsidRPr="00D80D1D">
        <w:rPr>
          <w:b/>
          <w:bCs/>
          <w:sz w:val="30"/>
          <w:szCs w:val="30"/>
        </w:rPr>
        <w:t xml:space="preserve">Контактный телефон: </w:t>
      </w:r>
      <w:r w:rsidRPr="00D80D1D">
        <w:rPr>
          <w:sz w:val="30"/>
          <w:szCs w:val="30"/>
        </w:rPr>
        <w:t>+375(212) 33 13 60</w:t>
      </w:r>
    </w:p>
    <w:p w:rsidR="00BF052E" w:rsidRPr="00D80D1D" w:rsidRDefault="00BD4F0F">
      <w:pPr>
        <w:pStyle w:val="1"/>
        <w:ind w:firstLine="0"/>
        <w:jc w:val="both"/>
        <w:rPr>
          <w:sz w:val="30"/>
          <w:szCs w:val="30"/>
        </w:rPr>
      </w:pPr>
      <w:proofErr w:type="spellStart"/>
      <w:r w:rsidRPr="00D80D1D">
        <w:rPr>
          <w:b/>
          <w:bCs/>
          <w:sz w:val="30"/>
          <w:szCs w:val="30"/>
        </w:rPr>
        <w:t>Е-шай</w:t>
      </w:r>
      <w:proofErr w:type="spellEnd"/>
      <w:r w:rsidRPr="00D80D1D">
        <w:rPr>
          <w:b/>
          <w:bCs/>
          <w:sz w:val="30"/>
          <w:szCs w:val="30"/>
        </w:rPr>
        <w:t xml:space="preserve">: </w:t>
      </w:r>
      <w:r w:rsidRPr="00D80D1D">
        <w:rPr>
          <w:sz w:val="30"/>
          <w:szCs w:val="30"/>
        </w:rPr>
        <w:t>хауоб_фЬЗ@та11.ги</w:t>
      </w:r>
    </w:p>
    <w:p w:rsidR="00BF052E" w:rsidRPr="00D80D1D" w:rsidRDefault="00BD4F0F">
      <w:pPr>
        <w:pStyle w:val="1"/>
        <w:ind w:firstLine="700"/>
        <w:jc w:val="both"/>
        <w:rPr>
          <w:sz w:val="30"/>
          <w:szCs w:val="30"/>
        </w:rPr>
      </w:pPr>
      <w:proofErr w:type="gramStart"/>
      <w:r w:rsidRPr="00D80D1D">
        <w:rPr>
          <w:sz w:val="30"/>
          <w:szCs w:val="30"/>
        </w:rPr>
        <w:t xml:space="preserve">Планируемая деятельность по объекту «Модернизация системы </w:t>
      </w:r>
      <w:proofErr w:type="spellStart"/>
      <w:r w:rsidRPr="00D80D1D">
        <w:rPr>
          <w:sz w:val="30"/>
          <w:szCs w:val="30"/>
        </w:rPr>
        <w:t>пароснабжения</w:t>
      </w:r>
      <w:proofErr w:type="spellEnd"/>
      <w:r w:rsidRPr="00D80D1D">
        <w:rPr>
          <w:sz w:val="30"/>
          <w:szCs w:val="30"/>
        </w:rPr>
        <w:t xml:space="preserve"> с заменой </w:t>
      </w:r>
      <w:proofErr w:type="spellStart"/>
      <w:r w:rsidRPr="00D80D1D">
        <w:rPr>
          <w:sz w:val="30"/>
          <w:szCs w:val="30"/>
        </w:rPr>
        <w:t>парогазогенераторов</w:t>
      </w:r>
      <w:proofErr w:type="spellEnd"/>
      <w:r w:rsidRPr="00D80D1D">
        <w:rPr>
          <w:sz w:val="30"/>
          <w:szCs w:val="30"/>
        </w:rPr>
        <w:t xml:space="preserve"> филиала «СЖБ №3 г. Витебска» ОАО «</w:t>
      </w:r>
      <w:proofErr w:type="spellStart"/>
      <w:r w:rsidRPr="00D80D1D">
        <w:rPr>
          <w:sz w:val="30"/>
          <w:szCs w:val="30"/>
        </w:rPr>
        <w:t>Кричевцементношифер</w:t>
      </w:r>
      <w:proofErr w:type="spellEnd"/>
      <w:r w:rsidRPr="00D80D1D">
        <w:rPr>
          <w:sz w:val="30"/>
          <w:szCs w:val="30"/>
        </w:rPr>
        <w:t xml:space="preserve">», расположенного по адресу: г. Витебск, ул. Горбачевского, 1» предусматривает установку двух парогенераторов «Орлик» 1,0- 0,07 МГ максимальной </w:t>
      </w:r>
      <w:proofErr w:type="spellStart"/>
      <w:r w:rsidRPr="00D80D1D">
        <w:rPr>
          <w:sz w:val="30"/>
          <w:szCs w:val="30"/>
        </w:rPr>
        <w:t>паропроизводительностью</w:t>
      </w:r>
      <w:proofErr w:type="spellEnd"/>
      <w:r w:rsidRPr="00D80D1D">
        <w:rPr>
          <w:sz w:val="30"/>
          <w:szCs w:val="30"/>
        </w:rPr>
        <w:t xml:space="preserve"> 1,0 т/ч и парогенератор «Орлик» 1,0-0,4 МГ максимальной </w:t>
      </w:r>
      <w:proofErr w:type="spellStart"/>
      <w:r w:rsidRPr="00D80D1D">
        <w:rPr>
          <w:sz w:val="30"/>
          <w:szCs w:val="30"/>
        </w:rPr>
        <w:t>паропроизводительностью</w:t>
      </w:r>
      <w:proofErr w:type="spellEnd"/>
      <w:r w:rsidRPr="00D80D1D">
        <w:rPr>
          <w:sz w:val="30"/>
          <w:szCs w:val="30"/>
        </w:rPr>
        <w:t xml:space="preserve"> 1,0 т/ч, завод-изготовитель ООО «Потенциал», г. Орел, РФ, к существующему газопроводу среднего давления</w:t>
      </w:r>
      <w:proofErr w:type="gramEnd"/>
      <w:r w:rsidRPr="00D80D1D">
        <w:rPr>
          <w:sz w:val="30"/>
          <w:szCs w:val="30"/>
        </w:rPr>
        <w:t xml:space="preserve"> </w:t>
      </w:r>
      <w:proofErr w:type="spellStart"/>
      <w:r w:rsidRPr="00D80D1D">
        <w:rPr>
          <w:sz w:val="30"/>
          <w:szCs w:val="30"/>
        </w:rPr>
        <w:t>Ду</w:t>
      </w:r>
      <w:proofErr w:type="spellEnd"/>
      <w:r w:rsidRPr="00D80D1D">
        <w:rPr>
          <w:sz w:val="30"/>
          <w:szCs w:val="30"/>
        </w:rPr>
        <w:t xml:space="preserve"> 80мм. Парогенераторы, оборудованных автоматизированными газовыми горелками СПЗ </w:t>
      </w:r>
      <w:r w:rsidR="00D80D1D">
        <w:rPr>
          <w:sz w:val="30"/>
          <w:szCs w:val="30"/>
          <w:lang w:val="en-US"/>
        </w:rPr>
        <w:t>UNIGAS</w:t>
      </w:r>
      <w:r w:rsidR="00D80D1D">
        <w:rPr>
          <w:sz w:val="30"/>
          <w:szCs w:val="30"/>
        </w:rPr>
        <w:t xml:space="preserve"> Р61 М-АВ.</w:t>
      </w:r>
      <w:r w:rsidR="00D80D1D">
        <w:rPr>
          <w:sz w:val="30"/>
          <w:szCs w:val="30"/>
          <w:lang w:val="en-US"/>
        </w:rPr>
        <w:t>S</w:t>
      </w:r>
      <w:r w:rsidR="00D80D1D">
        <w:rPr>
          <w:sz w:val="30"/>
          <w:szCs w:val="30"/>
        </w:rPr>
        <w:t>.</w:t>
      </w:r>
      <w:r w:rsidR="00D80D1D">
        <w:rPr>
          <w:sz w:val="30"/>
          <w:szCs w:val="30"/>
          <w:lang w:val="en-US"/>
        </w:rPr>
        <w:t>RU</w:t>
      </w:r>
      <w:r w:rsidRPr="00D80D1D">
        <w:rPr>
          <w:sz w:val="30"/>
          <w:szCs w:val="30"/>
        </w:rPr>
        <w:t xml:space="preserve">.А.050 с </w:t>
      </w:r>
      <w:proofErr w:type="spellStart"/>
      <w:r w:rsidRPr="00D80D1D">
        <w:rPr>
          <w:sz w:val="30"/>
          <w:szCs w:val="30"/>
        </w:rPr>
        <w:t>мультиблоками</w:t>
      </w:r>
      <w:proofErr w:type="spellEnd"/>
      <w:r w:rsidRPr="00D80D1D">
        <w:rPr>
          <w:sz w:val="30"/>
          <w:szCs w:val="30"/>
        </w:rPr>
        <w:t xml:space="preserve"> </w:t>
      </w:r>
      <w:proofErr w:type="gramStart"/>
      <w:r w:rsidRPr="00D80D1D">
        <w:rPr>
          <w:sz w:val="30"/>
          <w:szCs w:val="30"/>
        </w:rPr>
        <w:t>МВ</w:t>
      </w:r>
      <w:proofErr w:type="gramEnd"/>
      <w:r w:rsidRPr="00D80D1D">
        <w:rPr>
          <w:sz w:val="30"/>
          <w:szCs w:val="30"/>
        </w:rPr>
        <w:t>-</w:t>
      </w:r>
      <w:r w:rsidR="00D80D1D">
        <w:rPr>
          <w:sz w:val="30"/>
          <w:szCs w:val="30"/>
          <w:lang w:val="en-US"/>
        </w:rPr>
        <w:t>DLE</w:t>
      </w:r>
      <w:r w:rsidRPr="00D80D1D">
        <w:rPr>
          <w:sz w:val="30"/>
          <w:szCs w:val="30"/>
        </w:rPr>
        <w:t xml:space="preserve"> 420 </w:t>
      </w:r>
      <w:r w:rsidR="00D80D1D">
        <w:rPr>
          <w:sz w:val="30"/>
          <w:szCs w:val="30"/>
          <w:lang w:val="en-US"/>
        </w:rPr>
        <w:t>S</w:t>
      </w:r>
      <w:r w:rsidRPr="00D80D1D">
        <w:rPr>
          <w:sz w:val="30"/>
          <w:szCs w:val="30"/>
        </w:rPr>
        <w:t xml:space="preserve">20 с устройствами контроля герметичности ЗЗУ. Назначение использования пара - на технологические нужды. Топливо - природный газ. Предусмотрено устройство </w:t>
      </w:r>
      <w:proofErr w:type="spellStart"/>
      <w:r w:rsidRPr="00D80D1D">
        <w:rPr>
          <w:sz w:val="30"/>
          <w:szCs w:val="30"/>
        </w:rPr>
        <w:t>химводоподготовки</w:t>
      </w:r>
      <w:proofErr w:type="spellEnd"/>
      <w:r w:rsidRPr="00D80D1D">
        <w:rPr>
          <w:sz w:val="30"/>
          <w:szCs w:val="30"/>
        </w:rPr>
        <w:t xml:space="preserve"> в ранее </w:t>
      </w:r>
      <w:proofErr w:type="gramStart"/>
      <w:r w:rsidRPr="00D80D1D">
        <w:rPr>
          <w:sz w:val="30"/>
          <w:szCs w:val="30"/>
        </w:rPr>
        <w:t>запроектированном</w:t>
      </w:r>
      <w:proofErr w:type="gramEnd"/>
      <w:r w:rsidRPr="00D80D1D">
        <w:rPr>
          <w:sz w:val="30"/>
          <w:szCs w:val="30"/>
        </w:rPr>
        <w:t xml:space="preserve"> ЦТП (система ХВО). Первый парогенератор (основной) 1,0-0,07МГ, второй парогенератор (резервный) 1,0-0,4 МГ.</w:t>
      </w:r>
    </w:p>
    <w:p w:rsidR="00BF052E" w:rsidRPr="00D80D1D" w:rsidRDefault="00BD4F0F" w:rsidP="00D80D1D">
      <w:pPr>
        <w:pStyle w:val="1"/>
        <w:ind w:left="140" w:firstLine="420"/>
        <w:jc w:val="both"/>
        <w:rPr>
          <w:sz w:val="30"/>
          <w:szCs w:val="30"/>
        </w:rPr>
      </w:pPr>
      <w:r w:rsidRPr="00D80D1D">
        <w:rPr>
          <w:sz w:val="30"/>
          <w:szCs w:val="30"/>
        </w:rPr>
        <w:t>Расчетная тепловая нагрузка парогенераторов составляет 1,58 т/ч (0,988 МВт, 0,85 Гкал/ч). Принятые технологические решения минимизируют воздействия на компоненты природной среды.</w:t>
      </w:r>
    </w:p>
    <w:p w:rsidR="00BF052E" w:rsidRPr="00D80D1D" w:rsidRDefault="00BD4F0F">
      <w:pPr>
        <w:pStyle w:val="1"/>
        <w:ind w:firstLine="700"/>
        <w:rPr>
          <w:sz w:val="30"/>
          <w:szCs w:val="30"/>
        </w:rPr>
      </w:pPr>
      <w:r w:rsidRPr="00D80D1D">
        <w:rPr>
          <w:sz w:val="30"/>
          <w:szCs w:val="30"/>
        </w:rPr>
        <w:t>Режим работы оборудования 107 дней/год, 4 час/</w:t>
      </w:r>
      <w:proofErr w:type="spellStart"/>
      <w:r w:rsidRPr="00D80D1D">
        <w:rPr>
          <w:sz w:val="30"/>
          <w:szCs w:val="30"/>
        </w:rPr>
        <w:t>сут</w:t>
      </w:r>
      <w:proofErr w:type="spellEnd"/>
      <w:r w:rsidRPr="00D80D1D">
        <w:rPr>
          <w:sz w:val="30"/>
          <w:szCs w:val="30"/>
        </w:rPr>
        <w:t>.</w:t>
      </w:r>
    </w:p>
    <w:p w:rsidR="00BF052E" w:rsidRPr="00D80D1D" w:rsidRDefault="00BD4F0F">
      <w:pPr>
        <w:pStyle w:val="1"/>
        <w:ind w:firstLine="700"/>
        <w:rPr>
          <w:sz w:val="30"/>
          <w:szCs w:val="30"/>
        </w:rPr>
      </w:pPr>
      <w:r w:rsidRPr="00D80D1D">
        <w:rPr>
          <w:sz w:val="30"/>
          <w:szCs w:val="30"/>
        </w:rPr>
        <w:t>Срок эксплуатации объекта не менее 50 лет.</w:t>
      </w:r>
    </w:p>
    <w:p w:rsidR="00BF052E" w:rsidRPr="00D80D1D" w:rsidRDefault="00BD4F0F" w:rsidP="00D80D1D">
      <w:pPr>
        <w:pStyle w:val="1"/>
        <w:ind w:firstLine="709"/>
        <w:rPr>
          <w:sz w:val="30"/>
          <w:szCs w:val="30"/>
        </w:rPr>
      </w:pPr>
      <w:r w:rsidRPr="00D80D1D">
        <w:rPr>
          <w:sz w:val="30"/>
          <w:szCs w:val="30"/>
        </w:rPr>
        <w:t>В качестве альтернативных вариантов рассматривались:</w:t>
      </w:r>
    </w:p>
    <w:p w:rsidR="00BF052E" w:rsidRPr="00D80D1D" w:rsidRDefault="00BD4F0F">
      <w:pPr>
        <w:pStyle w:val="1"/>
        <w:numPr>
          <w:ilvl w:val="0"/>
          <w:numId w:val="1"/>
        </w:numPr>
        <w:tabs>
          <w:tab w:val="left" w:pos="1181"/>
        </w:tabs>
        <w:ind w:firstLine="840"/>
        <w:jc w:val="both"/>
        <w:rPr>
          <w:sz w:val="30"/>
          <w:szCs w:val="30"/>
        </w:rPr>
      </w:pPr>
      <w:bookmarkStart w:id="0" w:name="bookmark0"/>
      <w:bookmarkEnd w:id="0"/>
      <w:r w:rsidRPr="00D80D1D">
        <w:rPr>
          <w:sz w:val="30"/>
          <w:szCs w:val="30"/>
        </w:rPr>
        <w:t>вариант 1 - реализация проектных решений на существующих производственных площадях;</w:t>
      </w:r>
    </w:p>
    <w:p w:rsidR="00BF052E" w:rsidRPr="00D80D1D" w:rsidRDefault="00BD4F0F">
      <w:pPr>
        <w:pStyle w:val="1"/>
        <w:numPr>
          <w:ilvl w:val="0"/>
          <w:numId w:val="1"/>
        </w:numPr>
        <w:tabs>
          <w:tab w:val="left" w:pos="1181"/>
        </w:tabs>
        <w:spacing w:after="40"/>
        <w:ind w:firstLine="840"/>
        <w:jc w:val="both"/>
        <w:rPr>
          <w:sz w:val="30"/>
          <w:szCs w:val="30"/>
        </w:rPr>
      </w:pPr>
      <w:bookmarkStart w:id="1" w:name="bookmark1"/>
      <w:bookmarkEnd w:id="1"/>
      <w:r w:rsidRPr="00D80D1D">
        <w:rPr>
          <w:sz w:val="30"/>
          <w:szCs w:val="30"/>
        </w:rPr>
        <w:t>вариант 2 нулевая альтернатива - т.е. отказ от реализации заявленных намерений.</w:t>
      </w:r>
    </w:p>
    <w:p w:rsidR="00BF052E" w:rsidRPr="00D80D1D" w:rsidRDefault="00BD4F0F" w:rsidP="00D80D1D">
      <w:pPr>
        <w:pStyle w:val="1"/>
        <w:spacing w:after="220"/>
        <w:ind w:firstLine="697"/>
        <w:jc w:val="both"/>
        <w:rPr>
          <w:sz w:val="30"/>
          <w:szCs w:val="30"/>
        </w:rPr>
      </w:pPr>
      <w:r w:rsidRPr="00D80D1D">
        <w:rPr>
          <w:sz w:val="30"/>
          <w:szCs w:val="30"/>
        </w:rPr>
        <w:t xml:space="preserve">С учетом анализа вариантов, вариант 1 - реализация заявленных намерений на существующих производственных площадях, является приоритетным вариантом планируемой хозяйственной деятельности. Реализация </w:t>
      </w:r>
      <w:r w:rsidR="00D80D1D" w:rsidRPr="00D80D1D">
        <w:rPr>
          <w:sz w:val="30"/>
          <w:szCs w:val="30"/>
        </w:rPr>
        <w:t xml:space="preserve">проектных решений </w:t>
      </w:r>
      <w:r w:rsidRPr="00D80D1D">
        <w:rPr>
          <w:sz w:val="30"/>
          <w:szCs w:val="30"/>
        </w:rPr>
        <w:t>позволит, минимизировать воздействие на компоненты прир</w:t>
      </w:r>
      <w:r w:rsidR="00D80D1D" w:rsidRPr="00D80D1D">
        <w:rPr>
          <w:sz w:val="30"/>
          <w:szCs w:val="30"/>
        </w:rPr>
        <w:t xml:space="preserve">одной </w:t>
      </w:r>
      <w:r w:rsidRPr="00D80D1D">
        <w:rPr>
          <w:sz w:val="30"/>
          <w:szCs w:val="30"/>
        </w:rPr>
        <w:t>сред</w:t>
      </w:r>
      <w:r w:rsidR="00D80D1D" w:rsidRPr="00D80D1D">
        <w:rPr>
          <w:sz w:val="30"/>
          <w:szCs w:val="30"/>
        </w:rPr>
        <w:t>ы.</w:t>
      </w:r>
    </w:p>
    <w:p w:rsidR="00D80D1D" w:rsidRDefault="00D80D1D">
      <w:pPr>
        <w:pStyle w:val="20"/>
        <w:pBdr>
          <w:bottom w:val="single" w:sz="4" w:space="0" w:color="auto"/>
        </w:pBdr>
      </w:pPr>
    </w:p>
    <w:p w:rsidR="00BF052E" w:rsidRDefault="00BD4F0F">
      <w:pPr>
        <w:pStyle w:val="1"/>
        <w:ind w:firstLine="660"/>
        <w:jc w:val="both"/>
      </w:pPr>
      <w:r>
        <w:rPr>
          <w:b/>
          <w:bCs/>
        </w:rPr>
        <w:lastRenderedPageBreak/>
        <w:t xml:space="preserve">Предварительное информирование граждан о проведении общественных обсуждений отчета об оценке воздействия на окружающую среду (ОВОС) по объекту: </w:t>
      </w:r>
      <w:proofErr w:type="gramStart"/>
      <w:r>
        <w:t xml:space="preserve">«Модернизация системы </w:t>
      </w:r>
      <w:proofErr w:type="spellStart"/>
      <w:r>
        <w:t>пароснабжения</w:t>
      </w:r>
      <w:proofErr w:type="spellEnd"/>
      <w:r>
        <w:t xml:space="preserve"> с заменой </w:t>
      </w:r>
      <w:proofErr w:type="spellStart"/>
      <w:r>
        <w:t>парогазогенераторов</w:t>
      </w:r>
      <w:proofErr w:type="spellEnd"/>
      <w:r>
        <w:t xml:space="preserve"> филиала «СЖБ №3 г. Витебска» ОАО «</w:t>
      </w:r>
      <w:proofErr w:type="spellStart"/>
      <w:r>
        <w:t>Кричевцементношифер</w:t>
      </w:r>
      <w:proofErr w:type="spellEnd"/>
      <w:r>
        <w:t>», расположенного по адресу: г. Витебск, ул. Горбачевского, 1», расположенного по адресу: г. Витебск, ул. Горбачевского, 1.</w:t>
      </w:r>
      <w:proofErr w:type="gramEnd"/>
    </w:p>
    <w:p w:rsidR="00BF052E" w:rsidRDefault="00BD4F0F">
      <w:pPr>
        <w:pStyle w:val="a5"/>
        <w:ind w:left="1589"/>
      </w:pPr>
      <w:r>
        <w:t>План-график работ по проведению оценки воздействия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461"/>
        <w:gridCol w:w="3845"/>
      </w:tblGrid>
      <w:tr w:rsidR="00BF052E">
        <w:trPr>
          <w:trHeight w:hRule="exact" w:val="346"/>
          <w:jc w:val="center"/>
        </w:trPr>
        <w:tc>
          <w:tcPr>
            <w:tcW w:w="6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052E" w:rsidRDefault="00BD4F0F">
            <w:pPr>
              <w:pStyle w:val="a7"/>
              <w:ind w:firstLine="0"/>
            </w:pPr>
            <w:r>
              <w:t>Подготовка программы проведения ОВОС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052E" w:rsidRDefault="00BD4F0F">
            <w:pPr>
              <w:pStyle w:val="a7"/>
              <w:ind w:firstLine="0"/>
            </w:pPr>
            <w:r>
              <w:t>С 03.01.2022 по 04.01.2022</w:t>
            </w:r>
          </w:p>
        </w:tc>
      </w:tr>
      <w:tr w:rsidR="00BF052E">
        <w:trPr>
          <w:trHeight w:hRule="exact" w:val="643"/>
          <w:jc w:val="center"/>
        </w:trPr>
        <w:tc>
          <w:tcPr>
            <w:tcW w:w="6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052E" w:rsidRDefault="00BD4F0F">
            <w:pPr>
              <w:pStyle w:val="a7"/>
              <w:spacing w:line="233" w:lineRule="auto"/>
              <w:ind w:firstLine="0"/>
            </w:pPr>
            <w:r>
              <w:t>Проведение предварительного информирования граждан о планируемой деятельности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52E" w:rsidRDefault="00BD4F0F">
            <w:pPr>
              <w:pStyle w:val="a7"/>
              <w:ind w:firstLine="0"/>
            </w:pPr>
            <w:r>
              <w:t>С 20.01.2022 по 25.01.2022</w:t>
            </w:r>
          </w:p>
        </w:tc>
      </w:tr>
      <w:tr w:rsidR="00BF052E">
        <w:trPr>
          <w:trHeight w:hRule="exact" w:val="336"/>
          <w:jc w:val="center"/>
        </w:trPr>
        <w:tc>
          <w:tcPr>
            <w:tcW w:w="6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052E" w:rsidRDefault="00BD4F0F">
            <w:pPr>
              <w:pStyle w:val="a7"/>
              <w:ind w:firstLine="0"/>
            </w:pPr>
            <w:r>
              <w:t>Проведение ОВОС и подготовка отчета об ОВОС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052E" w:rsidRDefault="00BD4F0F">
            <w:pPr>
              <w:pStyle w:val="a7"/>
              <w:ind w:firstLine="0"/>
            </w:pPr>
            <w:r>
              <w:t>С 03.01.2022 по 25.01.2022</w:t>
            </w:r>
          </w:p>
        </w:tc>
      </w:tr>
      <w:tr w:rsidR="00BF052E">
        <w:trPr>
          <w:trHeight w:hRule="exact" w:val="648"/>
          <w:jc w:val="center"/>
        </w:trPr>
        <w:tc>
          <w:tcPr>
            <w:tcW w:w="6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052E" w:rsidRDefault="00BD4F0F">
            <w:pPr>
              <w:pStyle w:val="a7"/>
              <w:ind w:firstLine="0"/>
            </w:pPr>
            <w:r>
              <w:t>Подготовка уведомления о планируемой деятельности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52E" w:rsidRDefault="00BD4F0F">
            <w:pPr>
              <w:pStyle w:val="a7"/>
              <w:ind w:firstLine="0"/>
            </w:pPr>
            <w:r>
              <w:t>С 18.01.2022 по 20.01.2022</w:t>
            </w:r>
          </w:p>
        </w:tc>
      </w:tr>
      <w:tr w:rsidR="00BF052E">
        <w:trPr>
          <w:trHeight w:hRule="exact" w:val="974"/>
          <w:jc w:val="center"/>
        </w:trPr>
        <w:tc>
          <w:tcPr>
            <w:tcW w:w="6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052E" w:rsidRDefault="00BD4F0F">
            <w:pPr>
              <w:pStyle w:val="a7"/>
              <w:ind w:firstLine="0"/>
            </w:pPr>
            <w:r>
              <w:t>Направление уведомления о планируемой деятельности и программы проведения ОВОС затрагиваемым сторонам*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52E" w:rsidRDefault="00BD4F0F">
            <w:pPr>
              <w:pStyle w:val="a7"/>
              <w:ind w:firstLine="0"/>
            </w:pPr>
            <w:r>
              <w:t>не требуется*</w:t>
            </w:r>
          </w:p>
        </w:tc>
      </w:tr>
      <w:tr w:rsidR="00BF052E">
        <w:trPr>
          <w:trHeight w:hRule="exact" w:val="648"/>
          <w:jc w:val="center"/>
        </w:trPr>
        <w:tc>
          <w:tcPr>
            <w:tcW w:w="6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052E" w:rsidRDefault="00BD4F0F">
            <w:pPr>
              <w:pStyle w:val="a7"/>
              <w:ind w:firstLine="0"/>
            </w:pPr>
            <w:r>
              <w:t>Направления отчета об ОВОС затрагиваемым сторонам*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52E" w:rsidRDefault="00BD4F0F">
            <w:pPr>
              <w:pStyle w:val="a7"/>
              <w:ind w:firstLine="0"/>
            </w:pPr>
            <w:r>
              <w:t>не требуется*</w:t>
            </w:r>
          </w:p>
        </w:tc>
      </w:tr>
      <w:tr w:rsidR="00BF052E">
        <w:trPr>
          <w:trHeight w:hRule="exact" w:val="1152"/>
          <w:jc w:val="center"/>
        </w:trPr>
        <w:tc>
          <w:tcPr>
            <w:tcW w:w="6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52E" w:rsidRDefault="00BD4F0F">
            <w:pPr>
              <w:pStyle w:val="a7"/>
              <w:ind w:firstLine="0"/>
            </w:pPr>
            <w:r>
              <w:t>Проведение общественных обсуждений (слушаний) на территории: Республики Беларусь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52E" w:rsidRDefault="00BD4F0F">
            <w:pPr>
              <w:pStyle w:val="a7"/>
              <w:ind w:firstLine="0"/>
            </w:pPr>
            <w:r>
              <w:t>С 25.01.2022 по 23.02.2022 включительно (не менее 30 календарных дней)</w:t>
            </w:r>
          </w:p>
        </w:tc>
      </w:tr>
      <w:tr w:rsidR="00BF052E">
        <w:trPr>
          <w:trHeight w:hRule="exact" w:val="1104"/>
          <w:jc w:val="center"/>
        </w:trPr>
        <w:tc>
          <w:tcPr>
            <w:tcW w:w="6461" w:type="dxa"/>
            <w:tcBorders>
              <w:left w:val="single" w:sz="4" w:space="0" w:color="auto"/>
            </w:tcBorders>
            <w:shd w:val="clear" w:color="auto" w:fill="FFFFFF"/>
          </w:tcPr>
          <w:p w:rsidR="00BF052E" w:rsidRDefault="00BD4F0F">
            <w:pPr>
              <w:pStyle w:val="a7"/>
              <w:spacing w:before="120"/>
              <w:ind w:firstLine="0"/>
            </w:pPr>
            <w:r>
              <w:t>Затрагиваемых сторон*</w:t>
            </w:r>
          </w:p>
        </w:tc>
        <w:tc>
          <w:tcPr>
            <w:tcW w:w="3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052E" w:rsidRDefault="00BD4F0F">
            <w:pPr>
              <w:pStyle w:val="a7"/>
              <w:ind w:firstLine="0"/>
            </w:pPr>
            <w:r>
              <w:t>не требуется*</w:t>
            </w:r>
          </w:p>
        </w:tc>
      </w:tr>
      <w:tr w:rsidR="00BF052E">
        <w:trPr>
          <w:trHeight w:hRule="exact" w:val="648"/>
          <w:jc w:val="center"/>
        </w:trPr>
        <w:tc>
          <w:tcPr>
            <w:tcW w:w="6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052E" w:rsidRDefault="00BD4F0F">
            <w:pPr>
              <w:pStyle w:val="a7"/>
              <w:spacing w:line="233" w:lineRule="auto"/>
              <w:ind w:firstLine="0"/>
            </w:pPr>
            <w:r>
              <w:t>Проведение консультации по замечаниям затрагиваемых сторон*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52E" w:rsidRDefault="00BD4F0F">
            <w:pPr>
              <w:pStyle w:val="a7"/>
              <w:ind w:firstLine="0"/>
            </w:pPr>
            <w:r>
              <w:t>не требуется*</w:t>
            </w:r>
          </w:p>
        </w:tc>
      </w:tr>
      <w:tr w:rsidR="00BF052E">
        <w:trPr>
          <w:trHeight w:hRule="exact" w:val="326"/>
          <w:jc w:val="center"/>
        </w:trPr>
        <w:tc>
          <w:tcPr>
            <w:tcW w:w="6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052E" w:rsidRDefault="00BD4F0F">
            <w:pPr>
              <w:pStyle w:val="a7"/>
              <w:ind w:firstLine="0"/>
            </w:pPr>
            <w:r>
              <w:t>Доработка отчета об ОВОС по замечаниям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052E" w:rsidRDefault="00BD4F0F">
            <w:pPr>
              <w:pStyle w:val="a7"/>
              <w:ind w:firstLine="0"/>
            </w:pPr>
            <w:r>
              <w:t>февраль-март 2022</w:t>
            </w:r>
          </w:p>
        </w:tc>
      </w:tr>
      <w:tr w:rsidR="00BF052E">
        <w:trPr>
          <w:trHeight w:hRule="exact" w:val="984"/>
          <w:jc w:val="center"/>
        </w:trPr>
        <w:tc>
          <w:tcPr>
            <w:tcW w:w="6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052E" w:rsidRDefault="00BD4F0F">
            <w:pPr>
              <w:pStyle w:val="a7"/>
              <w:ind w:firstLine="0"/>
            </w:pPr>
            <w:r>
              <w:t>Представление отчета об ОВОС в составе проектной документации на государственную экологическую экспертизу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52E" w:rsidRDefault="00BD4F0F">
            <w:pPr>
              <w:pStyle w:val="a7"/>
              <w:ind w:firstLine="0"/>
            </w:pPr>
            <w:r>
              <w:t>март-апрель 2022</w:t>
            </w:r>
          </w:p>
        </w:tc>
      </w:tr>
      <w:tr w:rsidR="00BF052E">
        <w:trPr>
          <w:trHeight w:hRule="exact" w:val="1637"/>
          <w:jc w:val="center"/>
        </w:trPr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052E" w:rsidRDefault="00BD4F0F">
            <w:pPr>
              <w:pStyle w:val="a7"/>
              <w:ind w:firstLine="0"/>
            </w:pPr>
            <w:r>
              <w:t>Принятие решения в отношении планируемой деятельности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052E" w:rsidRDefault="00BD4F0F">
            <w:pPr>
              <w:pStyle w:val="a7"/>
              <w:ind w:firstLine="0"/>
            </w:pPr>
            <w:r>
              <w:t>апрель-май 2022 (в течение 15 рабочих дней после получения заключения государственной экологической экспертизы)</w:t>
            </w:r>
          </w:p>
        </w:tc>
      </w:tr>
    </w:tbl>
    <w:p w:rsidR="00BF052E" w:rsidRDefault="00E35D56">
      <w:pPr>
        <w:spacing w:line="1" w:lineRule="exact"/>
      </w:pPr>
      <w:r>
        <w:pict>
          <v:rect id="_x0000_s1026" style="position:absolute;margin-left:0;margin-top:0;width:595pt;height:842pt;z-index:-251658751;mso-position-horizontal-relative:page;mso-position-vertical-relative:page" fillcolor="#fdfdfd" stroked="f">
            <w10:wrap anchorx="page" anchory="page"/>
          </v:rect>
        </w:pict>
      </w:r>
    </w:p>
    <w:p w:rsidR="00BF052E" w:rsidRDefault="00BF052E">
      <w:pPr>
        <w:spacing w:line="1" w:lineRule="exact"/>
      </w:pPr>
    </w:p>
    <w:sectPr w:rsidR="00BF052E" w:rsidSect="00D80D1D">
      <w:pgSz w:w="11900" w:h="16840"/>
      <w:pgMar w:top="1284" w:right="284" w:bottom="1701" w:left="1311" w:header="856" w:footer="3249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52E" w:rsidRDefault="00BF052E" w:rsidP="00BF052E">
      <w:r>
        <w:separator/>
      </w:r>
    </w:p>
  </w:endnote>
  <w:endnote w:type="continuationSeparator" w:id="0">
    <w:p w:rsidR="00BF052E" w:rsidRDefault="00BF052E" w:rsidP="00BF05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52E" w:rsidRDefault="00BF052E"/>
  </w:footnote>
  <w:footnote w:type="continuationSeparator" w:id="0">
    <w:p w:rsidR="00BF052E" w:rsidRDefault="00BF052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947F7"/>
    <w:multiLevelType w:val="multilevel"/>
    <w:tmpl w:val="2B34DC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F052E"/>
    <w:rsid w:val="00BD4F0F"/>
    <w:rsid w:val="00BF052E"/>
    <w:rsid w:val="00D80D1D"/>
    <w:rsid w:val="00E35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F052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F05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sid w:val="00BF05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F3ACA"/>
      <w:sz w:val="20"/>
      <w:szCs w:val="20"/>
      <w:u w:val="none"/>
      <w:shd w:val="clear" w:color="auto" w:fill="auto"/>
    </w:rPr>
  </w:style>
  <w:style w:type="character" w:customStyle="1" w:styleId="a4">
    <w:name w:val="Подпись к таблице_"/>
    <w:basedOn w:val="a0"/>
    <w:link w:val="a5"/>
    <w:rsid w:val="00BF05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6">
    <w:name w:val="Другое_"/>
    <w:basedOn w:val="a0"/>
    <w:link w:val="a7"/>
    <w:rsid w:val="00BF05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BF052E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BF052E"/>
    <w:pPr>
      <w:spacing w:after="120"/>
      <w:ind w:right="160"/>
      <w:jc w:val="right"/>
    </w:pPr>
    <w:rPr>
      <w:rFonts w:ascii="Times New Roman" w:eastAsia="Times New Roman" w:hAnsi="Times New Roman" w:cs="Times New Roman"/>
      <w:b/>
      <w:bCs/>
      <w:color w:val="1F3ACA"/>
      <w:sz w:val="20"/>
      <w:szCs w:val="20"/>
    </w:rPr>
  </w:style>
  <w:style w:type="paragraph" w:customStyle="1" w:styleId="a5">
    <w:name w:val="Подпись к таблице"/>
    <w:basedOn w:val="a"/>
    <w:link w:val="a4"/>
    <w:rsid w:val="00BF052E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Другое"/>
    <w:basedOn w:val="a"/>
    <w:link w:val="a6"/>
    <w:rsid w:val="00BF052E"/>
    <w:pPr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530</Words>
  <Characters>3026</Characters>
  <Application>Microsoft Office Word</Application>
  <DocSecurity>0</DocSecurity>
  <Lines>25</Lines>
  <Paragraphs>7</Paragraphs>
  <ScaleCrop>false</ScaleCrop>
  <Company/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k405</dc:creator>
  <cp:lastModifiedBy>k405u1</cp:lastModifiedBy>
  <cp:revision>2</cp:revision>
  <dcterms:created xsi:type="dcterms:W3CDTF">2022-01-26T13:14:00Z</dcterms:created>
  <dcterms:modified xsi:type="dcterms:W3CDTF">2022-01-26T13:14:00Z</dcterms:modified>
</cp:coreProperties>
</file>