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D7" w:rsidRDefault="007E3FD7">
      <w:pPr>
        <w:jc w:val="center"/>
        <w:rPr>
          <w:color w:val="000000"/>
          <w:sz w:val="28"/>
          <w:szCs w:val="28"/>
        </w:rPr>
      </w:pPr>
    </w:p>
    <w:p w:rsidR="007E3FD7" w:rsidRDefault="001B5578">
      <w:pPr>
        <w:pStyle w:val="a5"/>
        <w:ind w:left="4820"/>
        <w:rPr>
          <w:sz w:val="28"/>
        </w:rPr>
      </w:pPr>
      <w:r>
        <w:rPr>
          <w:sz w:val="28"/>
        </w:rPr>
        <w:t>УТВЕРЖДАЮ</w:t>
      </w:r>
    </w:p>
    <w:p w:rsidR="007E3FD7" w:rsidRDefault="001B5578">
      <w:pPr>
        <w:pStyle w:val="a5"/>
        <w:ind w:left="4820"/>
        <w:rPr>
          <w:sz w:val="28"/>
        </w:rPr>
      </w:pPr>
      <w:r>
        <w:rPr>
          <w:sz w:val="28"/>
        </w:rPr>
        <w:t>Директор</w:t>
      </w:r>
    </w:p>
    <w:p w:rsidR="007E3FD7" w:rsidRDefault="001B5578">
      <w:pPr>
        <w:pStyle w:val="a5"/>
        <w:ind w:left="4820"/>
        <w:rPr>
          <w:sz w:val="28"/>
        </w:rPr>
      </w:pPr>
      <w:r>
        <w:rPr>
          <w:sz w:val="28"/>
        </w:rPr>
        <w:t>ОАО «</w:t>
      </w:r>
      <w:proofErr w:type="spellStart"/>
      <w:r>
        <w:rPr>
          <w:sz w:val="28"/>
        </w:rPr>
        <w:t>Витебскдрев</w:t>
      </w:r>
      <w:proofErr w:type="spellEnd"/>
      <w:r>
        <w:rPr>
          <w:sz w:val="28"/>
        </w:rPr>
        <w:t>»</w:t>
      </w:r>
    </w:p>
    <w:p w:rsidR="007E3FD7" w:rsidRDefault="001B5578">
      <w:pPr>
        <w:pStyle w:val="a5"/>
        <w:ind w:left="4820"/>
        <w:rPr>
          <w:sz w:val="28"/>
        </w:rPr>
      </w:pPr>
      <w:r>
        <w:rPr>
          <w:sz w:val="28"/>
        </w:rPr>
        <w:t xml:space="preserve">________________Ю.В. </w:t>
      </w:r>
      <w:proofErr w:type="spellStart"/>
      <w:r>
        <w:rPr>
          <w:sz w:val="28"/>
        </w:rPr>
        <w:t>Дойлин</w:t>
      </w:r>
      <w:proofErr w:type="spellEnd"/>
      <w:r>
        <w:rPr>
          <w:sz w:val="28"/>
        </w:rPr>
        <w:t xml:space="preserve"> </w:t>
      </w:r>
    </w:p>
    <w:p w:rsidR="007E3FD7" w:rsidRDefault="001B5578">
      <w:pPr>
        <w:pStyle w:val="a5"/>
        <w:ind w:left="4820"/>
        <w:rPr>
          <w:sz w:val="28"/>
        </w:rPr>
      </w:pPr>
      <w:r>
        <w:rPr>
          <w:sz w:val="28"/>
        </w:rPr>
        <w:t xml:space="preserve">" </w:t>
      </w:r>
      <w:r>
        <w:rPr>
          <w:sz w:val="28"/>
        </w:rPr>
        <w:t>01</w:t>
      </w:r>
      <w:r>
        <w:rPr>
          <w:sz w:val="28"/>
        </w:rPr>
        <w:t xml:space="preserve"> " </w:t>
      </w:r>
      <w:proofErr w:type="gramStart"/>
      <w:r>
        <w:rPr>
          <w:sz w:val="28"/>
        </w:rPr>
        <w:t>декабря</w:t>
      </w:r>
      <w:r>
        <w:rPr>
          <w:sz w:val="28"/>
        </w:rPr>
        <w:t xml:space="preserve"> </w:t>
      </w:r>
      <w:r>
        <w:rPr>
          <w:sz w:val="28"/>
        </w:rPr>
        <w:t xml:space="preserve"> 2021</w:t>
      </w:r>
      <w:proofErr w:type="gramEnd"/>
      <w:r>
        <w:rPr>
          <w:sz w:val="28"/>
        </w:rPr>
        <w:t xml:space="preserve"> г</w:t>
      </w:r>
    </w:p>
    <w:p w:rsidR="007E3FD7" w:rsidRDefault="007E3FD7">
      <w:pPr>
        <w:jc w:val="center"/>
        <w:rPr>
          <w:color w:val="000000"/>
          <w:sz w:val="28"/>
          <w:szCs w:val="28"/>
        </w:rPr>
      </w:pPr>
    </w:p>
    <w:p w:rsidR="007E3FD7" w:rsidRDefault="007E3FD7">
      <w:pPr>
        <w:jc w:val="center"/>
        <w:rPr>
          <w:color w:val="000000"/>
          <w:sz w:val="28"/>
          <w:szCs w:val="28"/>
        </w:rPr>
      </w:pPr>
    </w:p>
    <w:p w:rsidR="007E3FD7" w:rsidRDefault="007E3FD7">
      <w:pPr>
        <w:jc w:val="center"/>
        <w:rPr>
          <w:color w:val="000000"/>
          <w:sz w:val="40"/>
          <w:szCs w:val="40"/>
        </w:rPr>
      </w:pPr>
    </w:p>
    <w:p w:rsidR="007E3FD7" w:rsidRDefault="007E3FD7">
      <w:pPr>
        <w:jc w:val="center"/>
        <w:rPr>
          <w:color w:val="000000"/>
          <w:sz w:val="40"/>
          <w:szCs w:val="40"/>
        </w:rPr>
      </w:pPr>
    </w:p>
    <w:p w:rsidR="007E3FD7" w:rsidRDefault="007E3FD7">
      <w:pPr>
        <w:jc w:val="center"/>
        <w:rPr>
          <w:color w:val="000000"/>
          <w:sz w:val="28"/>
          <w:szCs w:val="28"/>
        </w:rPr>
      </w:pPr>
    </w:p>
    <w:p w:rsidR="007E3FD7" w:rsidRDefault="001B55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ПРОВЕДЕНИЯ ОЦЕНКИ ВОЗДЕЙСТВИЯ</w:t>
      </w:r>
    </w:p>
    <w:p w:rsidR="007E3FD7" w:rsidRDefault="001B55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ОКРУЖАЮЩУЮ СРЕДУ</w:t>
      </w:r>
    </w:p>
    <w:p w:rsidR="007E3FD7" w:rsidRDefault="001B55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ОБЪЕКТУ</w:t>
      </w:r>
      <w:r>
        <w:rPr>
          <w:bCs/>
          <w:sz w:val="32"/>
          <w:szCs w:val="32"/>
        </w:rPr>
        <w:t>:</w:t>
      </w:r>
    </w:p>
    <w:p w:rsidR="007E3FD7" w:rsidRDefault="007E3FD7">
      <w:pPr>
        <w:jc w:val="center"/>
        <w:rPr>
          <w:b/>
          <w:bCs/>
          <w:sz w:val="32"/>
          <w:szCs w:val="32"/>
        </w:rPr>
      </w:pPr>
    </w:p>
    <w:p w:rsidR="007E3FD7" w:rsidRDefault="001B5578">
      <w:pPr>
        <w:jc w:val="center"/>
        <w:rPr>
          <w:b/>
          <w:bCs/>
          <w:sz w:val="32"/>
          <w:szCs w:val="32"/>
        </w:rPr>
      </w:pPr>
      <w:bookmarkStart w:id="0" w:name="_Hlk84978305"/>
      <w:r>
        <w:rPr>
          <w:rFonts w:eastAsia="Calibri"/>
          <w:i/>
          <w:sz w:val="30"/>
          <w:szCs w:val="30"/>
          <w:lang w:eastAsia="en-US"/>
        </w:rPr>
        <w:t>«</w:t>
      </w:r>
      <w:proofErr w:type="spellStart"/>
      <w:r>
        <w:rPr>
          <w:rFonts w:eastAsia="Calibri"/>
          <w:i/>
          <w:sz w:val="30"/>
          <w:szCs w:val="30"/>
          <w:lang w:eastAsia="en-US"/>
        </w:rPr>
        <w:t>Лесоцех</w:t>
      </w:r>
      <w:proofErr w:type="spellEnd"/>
      <w:r>
        <w:rPr>
          <w:rFonts w:eastAsia="Calibri"/>
          <w:i/>
          <w:sz w:val="30"/>
          <w:szCs w:val="30"/>
          <w:lang w:eastAsia="en-US"/>
        </w:rPr>
        <w:t xml:space="preserve"> по адресу: г. Витебск, пер. Стахановский, 7», расположенное по адресу: </w:t>
      </w:r>
      <w:bookmarkEnd w:id="0"/>
      <w:r>
        <w:rPr>
          <w:rFonts w:eastAsia="Calibri"/>
          <w:i/>
          <w:sz w:val="30"/>
          <w:szCs w:val="30"/>
          <w:lang w:eastAsia="en-US"/>
        </w:rPr>
        <w:t xml:space="preserve">г. </w:t>
      </w:r>
      <w:r>
        <w:rPr>
          <w:rFonts w:eastAsia="Calibri"/>
          <w:i/>
          <w:sz w:val="30"/>
          <w:szCs w:val="30"/>
          <w:lang w:eastAsia="en-US"/>
        </w:rPr>
        <w:t>Витебск, пер. Стахановский, 7</w:t>
      </w:r>
    </w:p>
    <w:p w:rsidR="007E3FD7" w:rsidRDefault="007E3FD7">
      <w:pPr>
        <w:jc w:val="center"/>
        <w:rPr>
          <w:sz w:val="28"/>
          <w:szCs w:val="28"/>
        </w:rPr>
      </w:pPr>
    </w:p>
    <w:p w:rsidR="007E3FD7" w:rsidRDefault="007E3FD7">
      <w:pPr>
        <w:jc w:val="center"/>
        <w:rPr>
          <w:sz w:val="28"/>
          <w:szCs w:val="28"/>
        </w:rPr>
      </w:pPr>
    </w:p>
    <w:p w:rsidR="007E3FD7" w:rsidRDefault="007E3FD7">
      <w:pPr>
        <w:jc w:val="center"/>
        <w:rPr>
          <w:sz w:val="28"/>
          <w:szCs w:val="28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7E3FD7">
      <w:pPr>
        <w:jc w:val="right"/>
        <w:rPr>
          <w:b/>
          <w:color w:val="000000"/>
        </w:rPr>
      </w:pPr>
    </w:p>
    <w:p w:rsidR="007E3FD7" w:rsidRDefault="001B5578">
      <w:pPr>
        <w:jc w:val="center"/>
        <w:rPr>
          <w:color w:val="000000"/>
        </w:rPr>
      </w:pPr>
      <w:r>
        <w:rPr>
          <w:b/>
          <w:color w:val="000000"/>
        </w:rPr>
        <w:t>г. Витебск, 2021 год</w:t>
      </w:r>
    </w:p>
    <w:p w:rsidR="007E3FD7" w:rsidRDefault="007E3FD7">
      <w:pPr>
        <w:jc w:val="right"/>
        <w:rPr>
          <w:color w:val="000000"/>
          <w:highlight w:val="yellow"/>
        </w:rPr>
        <w:sectPr w:rsidR="007E3FD7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7E3FD7" w:rsidRDefault="001B5578">
      <w:pPr>
        <w:pStyle w:val="1"/>
        <w:pageBreakBefore/>
        <w:spacing w:before="200" w:after="0"/>
        <w:ind w:firstLine="709"/>
        <w:jc w:val="both"/>
        <w:rPr>
          <w:b w:val="0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ИСПОЛНИТЕЛЕЙ</w:t>
      </w:r>
    </w:p>
    <w:p w:rsidR="007E3FD7" w:rsidRDefault="007E3FD7">
      <w:pPr>
        <w:jc w:val="right"/>
        <w:rPr>
          <w:color w:val="000000"/>
        </w:rPr>
      </w:pPr>
    </w:p>
    <w:p w:rsidR="007E3FD7" w:rsidRDefault="007E3FD7">
      <w:pPr>
        <w:jc w:val="right"/>
        <w:rPr>
          <w:color w:val="000000"/>
        </w:rPr>
      </w:pPr>
    </w:p>
    <w:p w:rsidR="007E3FD7" w:rsidRDefault="007E3FD7">
      <w:pPr>
        <w:jc w:val="right"/>
        <w:rPr>
          <w:color w:val="000000"/>
        </w:rPr>
      </w:pPr>
    </w:p>
    <w:p w:rsidR="007E3FD7" w:rsidRDefault="007E3FD7">
      <w:pPr>
        <w:jc w:val="center"/>
        <w:rPr>
          <w:color w:val="000000"/>
        </w:rPr>
      </w:pPr>
    </w:p>
    <w:p w:rsidR="007E3FD7" w:rsidRDefault="001B557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разработке раздела ОВОС</w:t>
      </w:r>
      <w:r>
        <w:rPr>
          <w:sz w:val="28"/>
          <w:szCs w:val="28"/>
        </w:rPr>
        <w:tab/>
        <w:t xml:space="preserve">___________ О.В. </w:t>
      </w:r>
      <w:proofErr w:type="spellStart"/>
      <w:r>
        <w:rPr>
          <w:sz w:val="28"/>
          <w:szCs w:val="28"/>
        </w:rPr>
        <w:t>Сапего</w:t>
      </w:r>
      <w:proofErr w:type="spellEnd"/>
    </w:p>
    <w:p w:rsidR="007E3FD7" w:rsidRDefault="007E3FD7">
      <w:pPr>
        <w:jc w:val="right"/>
        <w:rPr>
          <w:color w:val="000000"/>
          <w:highlight w:val="yellow"/>
        </w:rPr>
      </w:pPr>
    </w:p>
    <w:p w:rsidR="007E3FD7" w:rsidRDefault="007E3FD7">
      <w:pPr>
        <w:jc w:val="right"/>
        <w:rPr>
          <w:color w:val="000000"/>
          <w:highlight w:val="yellow"/>
        </w:rPr>
      </w:pPr>
    </w:p>
    <w:p w:rsidR="007E3FD7" w:rsidRDefault="007E3FD7">
      <w:pPr>
        <w:jc w:val="right"/>
        <w:rPr>
          <w:color w:val="000000"/>
          <w:highlight w:val="yellow"/>
        </w:rPr>
      </w:pPr>
    </w:p>
    <w:p w:rsidR="007E3FD7" w:rsidRDefault="007E3FD7">
      <w:pPr>
        <w:jc w:val="right"/>
        <w:rPr>
          <w:color w:val="000000"/>
          <w:highlight w:val="yellow"/>
        </w:rPr>
      </w:pPr>
    </w:p>
    <w:p w:rsidR="007E3FD7" w:rsidRDefault="007E3FD7">
      <w:pPr>
        <w:jc w:val="right"/>
        <w:rPr>
          <w:color w:val="000000"/>
          <w:highlight w:val="yellow"/>
        </w:rPr>
        <w:sectPr w:rsidR="007E3FD7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7E3FD7" w:rsidRDefault="001B5578">
      <w:pPr>
        <w:pStyle w:val="2"/>
        <w:numPr>
          <w:ilvl w:val="0"/>
          <w:numId w:val="1"/>
        </w:numPr>
        <w:tabs>
          <w:tab w:val="left" w:pos="993"/>
        </w:tabs>
        <w:autoSpaceDE/>
        <w:autoSpaceDN/>
        <w:ind w:left="709" w:firstLine="0"/>
        <w:jc w:val="both"/>
        <w:rPr>
          <w:i w:val="0"/>
          <w:spacing w:val="2"/>
          <w:sz w:val="24"/>
        </w:rPr>
      </w:pPr>
      <w:bookmarkStart w:id="1" w:name="_Toc311563415"/>
      <w:r>
        <w:rPr>
          <w:i w:val="0"/>
          <w:spacing w:val="2"/>
          <w:sz w:val="24"/>
        </w:rPr>
        <w:lastRenderedPageBreak/>
        <w:t xml:space="preserve">План-график работ по проведению </w:t>
      </w:r>
      <w:bookmarkEnd w:id="1"/>
      <w:r>
        <w:rPr>
          <w:i w:val="0"/>
          <w:spacing w:val="2"/>
          <w:sz w:val="24"/>
        </w:rPr>
        <w:t>ОВОС</w:t>
      </w:r>
    </w:p>
    <w:p w:rsidR="007E3FD7" w:rsidRDefault="007E3FD7"/>
    <w:p w:rsidR="007E3FD7" w:rsidRDefault="001B5578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План-график работ по проведению оценки воздействия</w:t>
      </w:r>
    </w:p>
    <w:tbl>
      <w:tblPr>
        <w:tblStyle w:val="21"/>
        <w:tblW w:w="4999" w:type="pct"/>
        <w:tblLook w:val="04A0" w:firstRow="1" w:lastRow="0" w:firstColumn="1" w:lastColumn="0" w:noHBand="0" w:noVBand="1"/>
      </w:tblPr>
      <w:tblGrid>
        <w:gridCol w:w="5356"/>
        <w:gridCol w:w="3164"/>
      </w:tblGrid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проведения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ОВОС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С 01.12.2021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03.12.2021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С </w:t>
            </w:r>
            <w:r w:rsidRPr="001B5578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.12.2021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1B5578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.01.2022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Проведение ОВОС и подготовка отчета об ОВОС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С 01.12.2021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2</w:t>
            </w:r>
            <w:r w:rsidRPr="001B557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.12.2021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Подготовка уведомления о планируемой деятельности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С 20.12.2021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2</w:t>
            </w:r>
            <w:r w:rsidRPr="001B557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.12.2021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не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требуется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*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Направления отчета об ОВОС затрагиваемым сторонам*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не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требуется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*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Проведение общественных обсуждений (слушаний) на территории: Республики Беларусь</w:t>
            </w:r>
          </w:p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Затрагиваемых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сторон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С 24.12.2021 по 23.01.2022 включительно (не менее 30 календарных дней)</w:t>
            </w:r>
          </w:p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не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требуется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*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Проведение консультации по замечаниям затрагиваемых сторон*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не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требуется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*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Доработка отчета об ОВОС по замечаниям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С 23.01.2022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29.01.2022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С 31.01.2022 </w:t>
            </w:r>
            <w:proofErr w:type="spellStart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1B5578">
              <w:rPr>
                <w:rFonts w:eastAsia="Calibri"/>
                <w:sz w:val="28"/>
                <w:szCs w:val="28"/>
                <w:lang w:val="en-US" w:eastAsia="en-US"/>
              </w:rPr>
              <w:t xml:space="preserve"> 01.03.2022</w:t>
            </w:r>
          </w:p>
        </w:tc>
      </w:tr>
      <w:tr w:rsidR="001B5578" w:rsidRPr="001B5578" w:rsidTr="00941054">
        <w:tc>
          <w:tcPr>
            <w:tcW w:w="3142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Принятие решения в отношении планируемой деятельности</w:t>
            </w:r>
          </w:p>
        </w:tc>
        <w:tc>
          <w:tcPr>
            <w:tcW w:w="1857" w:type="pct"/>
          </w:tcPr>
          <w:p w:rsidR="001B5578" w:rsidRPr="001B5578" w:rsidRDefault="001B5578" w:rsidP="001B55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5578">
              <w:rPr>
                <w:rFonts w:eastAsia="Calibri"/>
                <w:sz w:val="28"/>
                <w:szCs w:val="28"/>
                <w:lang w:eastAsia="en-US"/>
              </w:rPr>
              <w:t>С 02.03.2022 по 17.03.2022 (в течение 15 рабочих дней после получения заключения государственной экологической экспертизы)</w:t>
            </w:r>
          </w:p>
        </w:tc>
      </w:tr>
    </w:tbl>
    <w:p w:rsidR="001B5578" w:rsidRDefault="001B5578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1B5578" w:rsidRDefault="001B5578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E3FD7" w:rsidRDefault="001B5578">
      <w:pPr>
        <w:spacing w:after="160" w:line="259" w:lineRule="auto"/>
        <w:rPr>
          <w:rFonts w:eastAsia="Calibri"/>
          <w:i/>
          <w:lang w:eastAsia="en-US"/>
        </w:rPr>
      </w:pPr>
      <w:bookmarkStart w:id="2" w:name="_GoBack"/>
      <w:bookmarkEnd w:id="2"/>
      <w:r>
        <w:rPr>
          <w:rFonts w:eastAsia="Calibri"/>
          <w:i/>
          <w:lang w:eastAsia="en-US"/>
        </w:rPr>
        <w:lastRenderedPageBreak/>
        <w:t xml:space="preserve">*заполняется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>
        <w:rPr>
          <w:rFonts w:eastAsia="Calibri"/>
          <w:i/>
          <w:lang w:val="en-US" w:eastAsia="en-US"/>
        </w:rPr>
        <w:t>I</w:t>
      </w:r>
      <w:r>
        <w:rPr>
          <w:rFonts w:eastAsia="Calibri"/>
          <w:i/>
          <w:lang w:eastAsia="en-US"/>
        </w:rPr>
        <w:t xml:space="preserve"> Конвенции об оценке воздействия на окружающую среду в трансграничном контексте)</w:t>
      </w:r>
    </w:p>
    <w:p w:rsidR="007E3FD7" w:rsidRDefault="001B5578">
      <w:pPr>
        <w:pStyle w:val="2"/>
        <w:numPr>
          <w:ilvl w:val="0"/>
          <w:numId w:val="1"/>
        </w:numPr>
        <w:tabs>
          <w:tab w:val="left" w:pos="993"/>
          <w:tab w:val="left" w:pos="1418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i w:val="0"/>
          <w:spacing w:val="2"/>
          <w:sz w:val="24"/>
        </w:rPr>
        <w:t>Сведения о планируемой деятельности и а</w:t>
      </w:r>
      <w:r>
        <w:rPr>
          <w:i w:val="0"/>
          <w:spacing w:val="2"/>
          <w:sz w:val="24"/>
        </w:rPr>
        <w:t>льтернативах ее реализации и (или размещения)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Планируемая деятельность: </w:t>
      </w:r>
      <w:r>
        <w:t>«</w:t>
      </w:r>
      <w:proofErr w:type="spellStart"/>
      <w:r>
        <w:t>Лесоцех</w:t>
      </w:r>
      <w:proofErr w:type="spellEnd"/>
      <w:r>
        <w:t xml:space="preserve"> по адресу: г. Витебск, пер. Стахановский, 7»</w:t>
      </w:r>
      <w:r>
        <w:rPr>
          <w:rFonts w:eastAsia="Arial"/>
          <w:color w:val="000000" w:themeColor="text1"/>
          <w:shd w:val="clear" w:color="auto" w:fill="FFFFFF"/>
        </w:rPr>
        <w:t xml:space="preserve">, расположенное по адресу: </w:t>
      </w:r>
      <w:r>
        <w:t>г. Витебск, пер. Стахановский, 7</w:t>
      </w:r>
      <w:r>
        <w:rPr>
          <w:rFonts w:eastAsia="Arial"/>
          <w:color w:val="000000" w:themeColor="text1"/>
          <w:shd w:val="clear" w:color="auto" w:fill="FFFFFF"/>
        </w:rPr>
        <w:t>.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>Заказчик планируемой деятельности: Открытое акционерно общество «</w:t>
      </w:r>
      <w:proofErr w:type="spellStart"/>
      <w:r>
        <w:rPr>
          <w:rFonts w:eastAsia="Arial"/>
          <w:color w:val="000000" w:themeColor="text1"/>
          <w:shd w:val="clear" w:color="auto" w:fill="FFFFFF"/>
        </w:rPr>
        <w:t>Витеб</w:t>
      </w:r>
      <w:r>
        <w:rPr>
          <w:rFonts w:eastAsia="Arial"/>
          <w:color w:val="000000" w:themeColor="text1"/>
          <w:shd w:val="clear" w:color="auto" w:fill="FFFFFF"/>
        </w:rPr>
        <w:t>скдрев</w:t>
      </w:r>
      <w:proofErr w:type="spellEnd"/>
      <w:r>
        <w:rPr>
          <w:rFonts w:eastAsia="Arial"/>
          <w:color w:val="000000" w:themeColor="text1"/>
          <w:shd w:val="clear" w:color="auto" w:fill="FFFFFF"/>
        </w:rPr>
        <w:t xml:space="preserve">», Почтовый адрес: 210008, Республика Беларусь, </w:t>
      </w:r>
      <w:proofErr w:type="gramStart"/>
      <w:r>
        <w:rPr>
          <w:rFonts w:eastAsia="Arial"/>
          <w:color w:val="000000" w:themeColor="text1"/>
          <w:shd w:val="clear" w:color="auto" w:fill="FFFFFF"/>
        </w:rPr>
        <w:t>город  Витебск</w:t>
      </w:r>
      <w:proofErr w:type="gramEnd"/>
      <w:r>
        <w:rPr>
          <w:rFonts w:eastAsia="Arial"/>
          <w:color w:val="000000" w:themeColor="text1"/>
          <w:shd w:val="clear" w:color="auto" w:fill="FFFFFF"/>
        </w:rPr>
        <w:t xml:space="preserve">, Стахановский переулок, 7, </w:t>
      </w:r>
      <w:proofErr w:type="spellStart"/>
      <w:r>
        <w:rPr>
          <w:rFonts w:eastAsia="Arial"/>
          <w:color w:val="000000" w:themeColor="text1"/>
          <w:shd w:val="clear" w:color="auto" w:fill="FFFFFF"/>
        </w:rPr>
        <w:t>e-mail:drev@vitebsk.by</w:t>
      </w:r>
      <w:proofErr w:type="spellEnd"/>
      <w:r>
        <w:rPr>
          <w:rFonts w:eastAsia="Arial"/>
          <w:color w:val="000000" w:themeColor="text1"/>
          <w:shd w:val="clear" w:color="auto" w:fill="FFFFFF"/>
        </w:rPr>
        <w:t xml:space="preserve"> , приёмная  тел: (+375 212) 37-49-77(факс).</w:t>
      </w:r>
    </w:p>
    <w:p w:rsidR="007E3FD7" w:rsidRDefault="007E3FD7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Обоснование необходимости планируемой деятельности: Планируемая деятельность </w:t>
      </w:r>
      <w:r>
        <w:rPr>
          <w:rFonts w:eastAsia="Arial"/>
          <w:color w:val="000000" w:themeColor="text1"/>
          <w:shd w:val="clear" w:color="auto" w:fill="FFFFFF"/>
        </w:rPr>
        <w:t>по</w:t>
      </w:r>
      <w:r>
        <w:rPr>
          <w:rFonts w:eastAsia="Arial"/>
          <w:color w:val="000000" w:themeColor="text1"/>
          <w:shd w:val="clear" w:color="auto" w:fill="FFFFFF"/>
        </w:rPr>
        <w:t xml:space="preserve"> объекту </w:t>
      </w:r>
      <w:r>
        <w:rPr>
          <w:rFonts w:eastAsia="Arial"/>
          <w:color w:val="000000" w:themeColor="text1"/>
          <w:shd w:val="clear" w:color="auto" w:fill="FFFFFF"/>
        </w:rPr>
        <w:t>«</w:t>
      </w:r>
      <w:proofErr w:type="spellStart"/>
      <w:r>
        <w:rPr>
          <w:rFonts w:eastAsia="Arial"/>
          <w:color w:val="000000" w:themeColor="text1"/>
          <w:shd w:val="clear" w:color="auto" w:fill="FFFFFF"/>
        </w:rPr>
        <w:t>Лесоцех</w:t>
      </w:r>
      <w:proofErr w:type="spellEnd"/>
      <w:r>
        <w:rPr>
          <w:rFonts w:eastAsia="Arial"/>
          <w:color w:val="000000" w:themeColor="text1"/>
          <w:shd w:val="clear" w:color="auto" w:fill="FFFFFF"/>
        </w:rPr>
        <w:t xml:space="preserve"> по адресу: г. Витебск, пер. Стахановский, 7»</w:t>
      </w:r>
      <w:r>
        <w:rPr>
          <w:rFonts w:eastAsia="Arial"/>
          <w:color w:val="000000" w:themeColor="text1"/>
          <w:shd w:val="clear" w:color="auto" w:fill="FFFFFF"/>
        </w:rPr>
        <w:t xml:space="preserve"> </w:t>
      </w:r>
      <w:r>
        <w:rPr>
          <w:rFonts w:eastAsia="Arial"/>
          <w:color w:val="000000" w:themeColor="text1"/>
          <w:shd w:val="clear" w:color="auto" w:fill="FFFFFF"/>
        </w:rPr>
        <w:t>предусматривает строительство</w:t>
      </w:r>
      <w:r>
        <w:rPr>
          <w:rFonts w:eastAsia="Arial"/>
          <w:color w:val="000000" w:themeColor="text1"/>
          <w:shd w:val="clear" w:color="auto" w:fill="FFFFFF"/>
        </w:rPr>
        <w:t>: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Здание </w:t>
      </w:r>
      <w:proofErr w:type="spellStart"/>
      <w:r>
        <w:rPr>
          <w:rFonts w:eastAsia="Arial"/>
          <w:color w:val="000000" w:themeColor="text1"/>
          <w:shd w:val="clear" w:color="auto" w:fill="FFFFFF"/>
        </w:rPr>
        <w:t>лесоцеха</w:t>
      </w:r>
      <w:proofErr w:type="spellEnd"/>
      <w:r>
        <w:rPr>
          <w:rFonts w:eastAsia="Arial"/>
          <w:color w:val="000000" w:themeColor="text1"/>
          <w:shd w:val="clear" w:color="auto" w:fill="FFFFFF"/>
        </w:rPr>
        <w:t xml:space="preserve"> с автоматической линией распила досок на базе станков DKP6 и D9 с биржей и навесом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. </w:t>
      </w:r>
      <w:r>
        <w:rPr>
          <w:rFonts w:eastAsia="Arial"/>
          <w:color w:val="000000" w:themeColor="text1"/>
          <w:shd w:val="clear" w:color="auto" w:fill="FFFFFF"/>
        </w:rPr>
        <w:t>Здание одноэтажное с навесом, высотой до низа несущих конструкций 6,3 м</w:t>
      </w:r>
      <w:r>
        <w:rPr>
          <w:rFonts w:eastAsia="Arial"/>
          <w:color w:val="000000" w:themeColor="text1"/>
          <w:shd w:val="clear" w:color="auto" w:fill="FFFFFF"/>
        </w:rPr>
        <w:t xml:space="preserve"> и размерами в плане 30х84 м</w:t>
      </w:r>
      <w:r w:rsidRPr="001B5578">
        <w:rPr>
          <w:rFonts w:eastAsia="Arial"/>
          <w:color w:val="000000" w:themeColor="text1"/>
          <w:shd w:val="clear" w:color="auto" w:fill="FFFFFF"/>
        </w:rPr>
        <w:t>:</w:t>
      </w:r>
    </w:p>
    <w:p w:rsidR="007E3FD7" w:rsidRPr="001B5578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 w:rsidRPr="001B5578">
        <w:rPr>
          <w:rFonts w:eastAsia="Arial"/>
          <w:color w:val="000000" w:themeColor="text1"/>
          <w:shd w:val="clear" w:color="auto" w:fill="FFFFFF"/>
        </w:rPr>
        <w:t xml:space="preserve">- станки по обработке (распилу) бревна древесины, </w:t>
      </w:r>
      <w:r>
        <w:rPr>
          <w:rFonts w:eastAsia="Arial"/>
          <w:color w:val="000000" w:themeColor="text1"/>
          <w:shd w:val="clear" w:color="auto" w:fill="FFFFFF"/>
          <w:lang w:val="en-US"/>
        </w:rPr>
        <w:t>D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-9 – 2шт. и </w:t>
      </w:r>
      <w:r>
        <w:rPr>
          <w:rFonts w:eastAsia="Arial"/>
          <w:color w:val="000000" w:themeColor="text1"/>
          <w:shd w:val="clear" w:color="auto" w:fill="FFFFFF"/>
          <w:lang w:val="en-US"/>
        </w:rPr>
        <w:t>D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КР 6 – 2 </w:t>
      </w:r>
      <w:proofErr w:type="spellStart"/>
      <w:r w:rsidRPr="001B5578">
        <w:rPr>
          <w:rFonts w:eastAsia="Arial"/>
          <w:color w:val="000000" w:themeColor="text1"/>
          <w:shd w:val="clear" w:color="auto" w:fill="FFFFFF"/>
        </w:rPr>
        <w:t>шт</w:t>
      </w:r>
      <w:proofErr w:type="spellEnd"/>
      <w:r w:rsidRPr="001B5578">
        <w:rPr>
          <w:rFonts w:eastAsia="Arial"/>
          <w:color w:val="000000" w:themeColor="text1"/>
          <w:shd w:val="clear" w:color="auto" w:fill="FFFFFF"/>
        </w:rPr>
        <w:t>;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>Цех переработки пиломатериалов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. </w:t>
      </w:r>
      <w:r>
        <w:rPr>
          <w:rFonts w:eastAsia="Arial"/>
          <w:color w:val="000000" w:themeColor="text1"/>
          <w:shd w:val="clear" w:color="auto" w:fill="FFFFFF"/>
        </w:rPr>
        <w:t>Здание одноэтажное, высотой до низа несущих конструкций 6,3м и размерами в плане 18х36 м</w:t>
      </w:r>
      <w:r w:rsidRPr="001B5578">
        <w:rPr>
          <w:rFonts w:eastAsia="Arial"/>
          <w:color w:val="000000" w:themeColor="text1"/>
          <w:shd w:val="clear" w:color="auto" w:fill="FFFFFF"/>
        </w:rPr>
        <w:t>: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 w:rsidRPr="001B5578">
        <w:rPr>
          <w:rFonts w:eastAsia="Arial"/>
          <w:color w:val="000000" w:themeColor="text1"/>
          <w:shd w:val="clear" w:color="auto" w:fill="FFFFFF"/>
        </w:rPr>
        <w:t>- станк</w:t>
      </w:r>
      <w:r>
        <w:rPr>
          <w:rFonts w:eastAsia="Arial"/>
          <w:color w:val="000000" w:themeColor="text1"/>
          <w:shd w:val="clear" w:color="auto" w:fill="FFFFFF"/>
        </w:rPr>
        <w:t>и продольного раскро</w:t>
      </w:r>
      <w:r>
        <w:rPr>
          <w:rFonts w:eastAsia="Arial"/>
          <w:color w:val="000000" w:themeColor="text1"/>
          <w:shd w:val="clear" w:color="auto" w:fill="FFFFFF"/>
        </w:rPr>
        <w:t>я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 </w:t>
      </w:r>
      <w:r>
        <w:rPr>
          <w:rFonts w:eastAsia="Arial"/>
          <w:color w:val="000000" w:themeColor="text1"/>
          <w:shd w:val="clear" w:color="auto" w:fill="FFFFFF"/>
          <w:lang w:val="en-US"/>
        </w:rPr>
        <w:t>WP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-100 и </w:t>
      </w:r>
      <w:r>
        <w:rPr>
          <w:rFonts w:eastAsia="Arial"/>
          <w:color w:val="000000" w:themeColor="text1"/>
          <w:shd w:val="clear" w:color="auto" w:fill="FFFFFF"/>
          <w:lang w:val="en-US"/>
        </w:rPr>
        <w:t>VC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 700</w:t>
      </w:r>
      <w:r>
        <w:rPr>
          <w:rFonts w:eastAsia="Arial"/>
          <w:color w:val="000000" w:themeColor="text1"/>
          <w:shd w:val="clear" w:color="auto" w:fill="FFFFFF"/>
        </w:rPr>
        <w:t>;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- </w:t>
      </w:r>
      <w:r w:rsidRPr="001B5578">
        <w:rPr>
          <w:rFonts w:eastAsia="Arial"/>
          <w:color w:val="000000" w:themeColor="text1"/>
          <w:shd w:val="clear" w:color="auto" w:fill="FFFFFF"/>
        </w:rPr>
        <w:t>торцовочн</w:t>
      </w:r>
      <w:r>
        <w:rPr>
          <w:rFonts w:eastAsia="Arial"/>
          <w:color w:val="000000" w:themeColor="text1"/>
          <w:shd w:val="clear" w:color="auto" w:fill="FFFFFF"/>
        </w:rPr>
        <w:t>ые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 станк</w:t>
      </w:r>
      <w:r>
        <w:rPr>
          <w:rFonts w:eastAsia="Arial"/>
          <w:color w:val="000000" w:themeColor="text1"/>
          <w:shd w:val="clear" w:color="auto" w:fill="FFFFFF"/>
        </w:rPr>
        <w:t>и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 с нижним расположением пилы СТБ 002 – 2 </w:t>
      </w:r>
      <w:proofErr w:type="spellStart"/>
      <w:r w:rsidRPr="001B5578">
        <w:rPr>
          <w:rFonts w:eastAsia="Arial"/>
          <w:color w:val="000000" w:themeColor="text1"/>
          <w:shd w:val="clear" w:color="auto" w:fill="FFFFFF"/>
        </w:rPr>
        <w:t>ед</w:t>
      </w:r>
      <w:proofErr w:type="spellEnd"/>
      <w:r>
        <w:rPr>
          <w:rFonts w:eastAsia="Arial"/>
          <w:color w:val="000000" w:themeColor="text1"/>
          <w:shd w:val="clear" w:color="auto" w:fill="FFFFFF"/>
        </w:rPr>
        <w:t>;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- </w:t>
      </w:r>
      <w:proofErr w:type="spellStart"/>
      <w:r w:rsidRPr="001B5578">
        <w:rPr>
          <w:rFonts w:eastAsia="Arial"/>
          <w:color w:val="000000" w:themeColor="text1"/>
          <w:shd w:val="clear" w:color="auto" w:fill="FFFFFF"/>
        </w:rPr>
        <w:t>рубительн</w:t>
      </w:r>
      <w:r>
        <w:rPr>
          <w:rFonts w:eastAsia="Arial"/>
          <w:color w:val="000000" w:themeColor="text1"/>
          <w:shd w:val="clear" w:color="auto" w:fill="FFFFFF"/>
        </w:rPr>
        <w:t>ая</w:t>
      </w:r>
      <w:proofErr w:type="spellEnd"/>
      <w:r w:rsidRPr="001B5578">
        <w:rPr>
          <w:rFonts w:eastAsia="Arial"/>
          <w:color w:val="000000" w:themeColor="text1"/>
          <w:shd w:val="clear" w:color="auto" w:fill="FFFFFF"/>
        </w:rPr>
        <w:t xml:space="preserve"> машин</w:t>
      </w:r>
      <w:r>
        <w:rPr>
          <w:rFonts w:eastAsia="Arial"/>
          <w:color w:val="000000" w:themeColor="text1"/>
          <w:shd w:val="clear" w:color="auto" w:fill="FFFFFF"/>
        </w:rPr>
        <w:t>а;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Навес для склада готовой продукции </w:t>
      </w:r>
      <w:r>
        <w:rPr>
          <w:rFonts w:eastAsia="Arial"/>
          <w:color w:val="000000" w:themeColor="text1"/>
          <w:shd w:val="clear" w:color="auto" w:fill="FFFFFF"/>
          <w:lang w:val="en-US"/>
        </w:rPr>
        <w:t>V</w:t>
      </w:r>
      <w:r>
        <w:rPr>
          <w:rFonts w:eastAsia="Arial"/>
          <w:color w:val="000000" w:themeColor="text1"/>
          <w:shd w:val="clear" w:color="auto" w:fill="FFFFFF"/>
        </w:rPr>
        <w:t>=650м3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. </w:t>
      </w:r>
      <w:r>
        <w:rPr>
          <w:rFonts w:eastAsia="Arial"/>
          <w:color w:val="000000" w:themeColor="text1"/>
          <w:shd w:val="clear" w:color="auto" w:fill="FFFFFF"/>
        </w:rPr>
        <w:t xml:space="preserve">Здание одноэтажное, высотой до низа несущих конструкций 4,8м и размерами в плане 8х37,5 м. 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Производственной программой проектируемыми цехами предусмотрено производство 275949 м3 пиломатериалов, в том числе, «Цех станков </w:t>
      </w:r>
      <w:r>
        <w:rPr>
          <w:rFonts w:eastAsia="Arial"/>
          <w:color w:val="000000" w:themeColor="text1"/>
          <w:shd w:val="clear" w:color="auto" w:fill="FFFFFF"/>
          <w:lang w:val="en-US"/>
        </w:rPr>
        <w:t>DKP</w:t>
      </w:r>
      <w:r>
        <w:rPr>
          <w:rFonts w:eastAsia="Arial"/>
          <w:color w:val="000000" w:themeColor="text1"/>
          <w:shd w:val="clear" w:color="auto" w:fill="FFFFFF"/>
        </w:rPr>
        <w:t xml:space="preserve">-6 и </w:t>
      </w:r>
      <w:r>
        <w:rPr>
          <w:rFonts w:eastAsia="Arial"/>
          <w:color w:val="000000" w:themeColor="text1"/>
          <w:shd w:val="clear" w:color="auto" w:fill="FFFFFF"/>
          <w:lang w:val="en-US"/>
        </w:rPr>
        <w:t>D</w:t>
      </w:r>
      <w:r>
        <w:rPr>
          <w:rFonts w:eastAsia="Arial"/>
          <w:color w:val="000000" w:themeColor="text1"/>
          <w:shd w:val="clear" w:color="auto" w:fill="FFFFFF"/>
        </w:rPr>
        <w:t>-9 с биржей и навесом» в год предусмотрен распил 266445 м3 бревен, а по «Цех переработки пиломатериалов» - 9504 м3/год</w:t>
      </w:r>
      <w:r>
        <w:rPr>
          <w:rFonts w:eastAsia="Arial"/>
          <w:color w:val="000000" w:themeColor="text1"/>
          <w:shd w:val="clear" w:color="auto" w:fill="FFFFFF"/>
        </w:rPr>
        <w:t xml:space="preserve"> пиломатериалов.</w:t>
      </w:r>
    </w:p>
    <w:p w:rsidR="007E3FD7" w:rsidRPr="001B5578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 w:rsidRPr="001B5578">
        <w:rPr>
          <w:rFonts w:eastAsia="Arial"/>
          <w:color w:val="000000" w:themeColor="text1"/>
          <w:shd w:val="clear" w:color="auto" w:fill="FFFFFF"/>
        </w:rPr>
        <w:t>Проектом предусматривается устройство четырех аспирационных установок АУ-1, АУ-2, АУ-3, АУ-4 (1 аспирационная установка на 1 станок) в з</w:t>
      </w:r>
      <w:r>
        <w:rPr>
          <w:rFonts w:eastAsia="Arial"/>
          <w:color w:val="000000" w:themeColor="text1"/>
          <w:shd w:val="clear" w:color="auto" w:fill="FFFFFF"/>
        </w:rPr>
        <w:t xml:space="preserve">дании </w:t>
      </w:r>
      <w:proofErr w:type="spellStart"/>
      <w:r>
        <w:rPr>
          <w:rFonts w:eastAsia="Arial"/>
          <w:color w:val="000000" w:themeColor="text1"/>
          <w:shd w:val="clear" w:color="auto" w:fill="FFFFFF"/>
        </w:rPr>
        <w:t>лесоцеха</w:t>
      </w:r>
      <w:proofErr w:type="spellEnd"/>
      <w:r w:rsidRPr="001B5578">
        <w:rPr>
          <w:rFonts w:eastAsia="Arial"/>
          <w:color w:val="000000" w:themeColor="text1"/>
          <w:shd w:val="clear" w:color="auto" w:fill="FFFFFF"/>
        </w:rPr>
        <w:t xml:space="preserve"> и </w:t>
      </w:r>
      <w:proofErr w:type="gramStart"/>
      <w:r w:rsidRPr="001B5578">
        <w:rPr>
          <w:rFonts w:eastAsia="Arial"/>
          <w:color w:val="000000" w:themeColor="text1"/>
          <w:shd w:val="clear" w:color="auto" w:fill="FFFFFF"/>
        </w:rPr>
        <w:t>одной  аспирационной</w:t>
      </w:r>
      <w:proofErr w:type="gramEnd"/>
      <w:r w:rsidRPr="001B5578">
        <w:rPr>
          <w:rFonts w:eastAsia="Arial"/>
          <w:color w:val="000000" w:themeColor="text1"/>
          <w:shd w:val="clear" w:color="auto" w:fill="FFFFFF"/>
        </w:rPr>
        <w:t xml:space="preserve">  установки АУ-5 в цеху пиломатериалов, с размещением аспирационного оборудования вне помещений производственного цеха.</w:t>
      </w:r>
    </w:p>
    <w:p w:rsidR="007E3FD7" w:rsidRPr="001B5578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 w:rsidRPr="001B5578">
        <w:rPr>
          <w:rFonts w:eastAsia="Arial"/>
          <w:color w:val="000000" w:themeColor="text1"/>
          <w:shd w:val="clear" w:color="auto" w:fill="FFFFFF"/>
        </w:rPr>
        <w:t>Принятые технологические решения минимизируют воздействия на компоненты природной среды (отсутствуют выбросы загр</w:t>
      </w:r>
      <w:r w:rsidRPr="001B5578">
        <w:rPr>
          <w:rFonts w:eastAsia="Arial"/>
          <w:color w:val="000000" w:themeColor="text1"/>
          <w:shd w:val="clear" w:color="auto" w:fill="FFFFFF"/>
        </w:rPr>
        <w:t xml:space="preserve">язняющих веществ в атмосферный воздух, образующиеся отходы от цеха лесопиления </w:t>
      </w:r>
      <w:proofErr w:type="gramStart"/>
      <w:r w:rsidRPr="001B5578">
        <w:rPr>
          <w:rFonts w:eastAsia="Arial"/>
          <w:color w:val="000000" w:themeColor="text1"/>
          <w:shd w:val="clear" w:color="auto" w:fill="FFFFFF"/>
        </w:rPr>
        <w:t>перерабатываются  в</w:t>
      </w:r>
      <w:proofErr w:type="gramEnd"/>
      <w:r w:rsidRPr="001B5578">
        <w:rPr>
          <w:rFonts w:eastAsia="Arial"/>
          <w:color w:val="000000" w:themeColor="text1"/>
          <w:shd w:val="clear" w:color="auto" w:fill="FFFFFF"/>
        </w:rPr>
        <w:t xml:space="preserve"> щепу).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Режим работы предприятия принят </w:t>
      </w:r>
      <w:r>
        <w:rPr>
          <w:rFonts w:eastAsia="Arial"/>
          <w:color w:val="000000" w:themeColor="text1"/>
          <w:shd w:val="clear" w:color="auto" w:fill="FFFFFF"/>
        </w:rPr>
        <w:t xml:space="preserve">двухсменный. Продолжительность смены – 8 часов, при </w:t>
      </w:r>
      <w:r>
        <w:rPr>
          <w:rFonts w:eastAsia="Arial"/>
          <w:color w:val="000000" w:themeColor="text1"/>
          <w:shd w:val="clear" w:color="auto" w:fill="FFFFFF"/>
        </w:rPr>
        <w:t>пятидневной рабочей неделе.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bookmarkStart w:id="3" w:name="_Hlk89271612"/>
      <w:r>
        <w:rPr>
          <w:rFonts w:eastAsia="Arial"/>
          <w:color w:val="000000" w:themeColor="text1"/>
          <w:shd w:val="clear" w:color="auto" w:fill="FFFFFF"/>
        </w:rPr>
        <w:t>Планируемая деятельность предусматрива</w:t>
      </w:r>
      <w:r>
        <w:rPr>
          <w:rFonts w:eastAsia="Arial"/>
          <w:color w:val="000000" w:themeColor="text1"/>
          <w:shd w:val="clear" w:color="auto" w:fill="FFFFFF"/>
        </w:rPr>
        <w:t xml:space="preserve">ет </w:t>
      </w:r>
      <w:bookmarkStart w:id="4" w:name="_Hlk89271550"/>
      <w:bookmarkEnd w:id="3"/>
      <w:r>
        <w:rPr>
          <w:rFonts w:eastAsia="Arial"/>
          <w:color w:val="000000" w:themeColor="text1"/>
          <w:shd w:val="clear" w:color="auto" w:fill="FFFFFF"/>
        </w:rPr>
        <w:t>строительство цеха лесопиления на территории ОАО «</w:t>
      </w:r>
      <w:proofErr w:type="spellStart"/>
      <w:r>
        <w:rPr>
          <w:rFonts w:eastAsia="Arial"/>
          <w:color w:val="000000" w:themeColor="text1"/>
          <w:shd w:val="clear" w:color="auto" w:fill="FFFFFF"/>
        </w:rPr>
        <w:t>Витебскдрев</w:t>
      </w:r>
      <w:proofErr w:type="spellEnd"/>
      <w:r>
        <w:rPr>
          <w:rFonts w:eastAsia="Arial"/>
          <w:color w:val="000000" w:themeColor="text1"/>
          <w:shd w:val="clear" w:color="auto" w:fill="FFFFFF"/>
        </w:rPr>
        <w:t>». Реализация заявленных намерений позволит увеличить количество перерабатываемой древесины, расширить экспортный потенциал региона, повысить занятость населения региона и его качества жизни</w:t>
      </w:r>
      <w:bookmarkEnd w:id="4"/>
      <w:r>
        <w:rPr>
          <w:rFonts w:eastAsia="Arial"/>
          <w:color w:val="000000" w:themeColor="text1"/>
          <w:shd w:val="clear" w:color="auto" w:fill="FFFFFF"/>
        </w:rPr>
        <w:t>.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Срок эксплуатации объекта не менее </w:t>
      </w:r>
      <w:r>
        <w:rPr>
          <w:rFonts w:eastAsia="Arial"/>
          <w:color w:val="000000" w:themeColor="text1"/>
          <w:shd w:val="clear" w:color="auto" w:fill="FFFFFF"/>
        </w:rPr>
        <w:t>5</w:t>
      </w:r>
      <w:r>
        <w:rPr>
          <w:rFonts w:eastAsia="Arial"/>
          <w:color w:val="000000" w:themeColor="text1"/>
          <w:shd w:val="clear" w:color="auto" w:fill="FFFFFF"/>
        </w:rPr>
        <w:t>0 лет.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lastRenderedPageBreak/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>После проведения процедуры общественных обсуждений, в случае отсу</w:t>
      </w:r>
      <w:r>
        <w:rPr>
          <w:rFonts w:eastAsia="Arial"/>
          <w:color w:val="000000" w:themeColor="text1"/>
          <w:shd w:val="clear" w:color="auto" w:fill="FFFFFF"/>
        </w:rPr>
        <w:t>тствия обоснованных замечаний и предложений со стороны заинтересованной общественности, материалы отчета об оценке воздействия на окружающую среду будут учтены при подготовке проектной документации, которая в установленном порядке будет представлена для пр</w:t>
      </w:r>
      <w:r>
        <w:rPr>
          <w:rFonts w:eastAsia="Arial"/>
          <w:color w:val="000000" w:themeColor="text1"/>
          <w:shd w:val="clear" w:color="auto" w:fill="FFFFFF"/>
        </w:rPr>
        <w:t>оведения государственных экспертиз. При наличии положительных заключений государственной санитарно-гигиенической экспертизы, государственной экологической экспертизы, государственной экспертизы, заказчик планируемой деятельности, если с его стороны будет п</w:t>
      </w:r>
      <w:r>
        <w:rPr>
          <w:rFonts w:eastAsia="Arial"/>
          <w:color w:val="000000" w:themeColor="text1"/>
          <w:shd w:val="clear" w:color="auto" w:fill="FFFFFF"/>
        </w:rPr>
        <w:t>ринято решение о реализации проектных решений по планируемой деятельности, обратится в Витебский городской исполнительный комитет за получением решения о разрешении проведения строительных работ.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>Государственный орган: Витебский городской исполнительный ко</w:t>
      </w:r>
      <w:r>
        <w:rPr>
          <w:rFonts w:eastAsia="Arial"/>
          <w:color w:val="000000" w:themeColor="text1"/>
          <w:shd w:val="clear" w:color="auto" w:fill="FFFFFF"/>
        </w:rPr>
        <w:t>митет, почтовый адрес: Адрес: 210005, г. Витебск, ул. Ленина 32, тел.: 43-62-59, факс: 43-62-30, e-</w:t>
      </w:r>
      <w:proofErr w:type="spellStart"/>
      <w:r>
        <w:rPr>
          <w:rFonts w:eastAsia="Arial"/>
          <w:color w:val="000000" w:themeColor="text1"/>
          <w:shd w:val="clear" w:color="auto" w:fill="FFFFFF"/>
        </w:rPr>
        <w:t>mail</w:t>
      </w:r>
      <w:proofErr w:type="spellEnd"/>
      <w:r>
        <w:rPr>
          <w:rFonts w:eastAsia="Arial"/>
          <w:color w:val="000000" w:themeColor="text1"/>
          <w:shd w:val="clear" w:color="auto" w:fill="FFFFFF"/>
        </w:rPr>
        <w:t>: vitgor@vitebsk.by</w:t>
      </w:r>
    </w:p>
    <w:p w:rsidR="007E3FD7" w:rsidRDefault="007E3FD7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>Информация о месте размещения планируемой хозяйственной и иной деятельности: г. Витебск, пер. Стахановский, 7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Сроки </w:t>
      </w:r>
      <w:proofErr w:type="gramStart"/>
      <w:r>
        <w:rPr>
          <w:rFonts w:eastAsia="Arial"/>
          <w:color w:val="000000" w:themeColor="text1"/>
          <w:shd w:val="clear" w:color="auto" w:fill="FFFFFF"/>
        </w:rPr>
        <w:t>реализации</w:t>
      </w:r>
      <w:proofErr w:type="gramEnd"/>
      <w:r>
        <w:rPr>
          <w:rFonts w:eastAsia="Arial"/>
          <w:color w:val="000000" w:themeColor="text1"/>
          <w:shd w:val="clear" w:color="auto" w:fill="FFFFFF"/>
        </w:rPr>
        <w:t xml:space="preserve"> </w:t>
      </w:r>
      <w:r>
        <w:rPr>
          <w:rFonts w:eastAsia="Arial"/>
          <w:color w:val="000000" w:themeColor="text1"/>
          <w:shd w:val="clear" w:color="auto" w:fill="FFFFFF"/>
        </w:rPr>
        <w:t>планируемой хозяйственной и иной деятельности:</w:t>
      </w:r>
    </w:p>
    <w:p w:rsidR="007E3FD7" w:rsidRDefault="001B5578">
      <w:pPr>
        <w:ind w:firstLineChars="300" w:firstLine="720"/>
        <w:jc w:val="both"/>
        <w:rPr>
          <w:rFonts w:eastAsia="Arial"/>
          <w:color w:val="000000" w:themeColor="text1"/>
          <w:shd w:val="clear" w:color="auto" w:fill="FFFFFF"/>
        </w:rPr>
      </w:pPr>
      <w:r>
        <w:rPr>
          <w:rFonts w:eastAsia="Arial"/>
          <w:color w:val="000000" w:themeColor="text1"/>
          <w:shd w:val="clear" w:color="auto" w:fill="FFFFFF"/>
        </w:rPr>
        <w:t xml:space="preserve">2022 и последующие годы. </w:t>
      </w:r>
      <w:bookmarkStart w:id="5" w:name="_Hlk89269669"/>
      <w:r>
        <w:rPr>
          <w:rFonts w:eastAsia="Arial"/>
          <w:color w:val="000000" w:themeColor="text1"/>
          <w:shd w:val="clear" w:color="auto" w:fill="FFFFFF"/>
        </w:rPr>
        <w:t xml:space="preserve">Срок эксплуатации объекта не менее </w:t>
      </w:r>
      <w:r>
        <w:rPr>
          <w:rFonts w:eastAsia="Arial"/>
          <w:color w:val="000000" w:themeColor="text1"/>
          <w:shd w:val="clear" w:color="auto" w:fill="FFFFFF"/>
        </w:rPr>
        <w:t>5</w:t>
      </w:r>
      <w:r>
        <w:rPr>
          <w:rFonts w:eastAsia="Arial"/>
          <w:color w:val="000000" w:themeColor="text1"/>
          <w:shd w:val="clear" w:color="auto" w:fill="FFFFFF"/>
        </w:rPr>
        <w:t>0 лет</w:t>
      </w:r>
      <w:bookmarkEnd w:id="5"/>
      <w:r>
        <w:rPr>
          <w:rFonts w:eastAsia="Arial"/>
          <w:color w:val="000000" w:themeColor="text1"/>
          <w:shd w:val="clear" w:color="auto" w:fill="FFFFFF"/>
        </w:rPr>
        <w:t>.</w:t>
      </w:r>
    </w:p>
    <w:p w:rsidR="007E3FD7" w:rsidRDefault="001B5578">
      <w:pPr>
        <w:ind w:firstLineChars="300" w:firstLine="720"/>
        <w:jc w:val="both"/>
      </w:pPr>
      <w:r>
        <w:t>Структура отчета об ОВОС должна соответствовать требованиям нормативно-правовых актов Республики Беларусь.</w:t>
      </w:r>
    </w:p>
    <w:p w:rsidR="007E3FD7" w:rsidRDefault="001B5578">
      <w:pPr>
        <w:pStyle w:val="2"/>
        <w:numPr>
          <w:ilvl w:val="0"/>
          <w:numId w:val="1"/>
        </w:numPr>
        <w:tabs>
          <w:tab w:val="left" w:pos="993"/>
          <w:tab w:val="left" w:pos="1418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>
        <w:rPr>
          <w:i w:val="0"/>
          <w:spacing w:val="2"/>
          <w:sz w:val="24"/>
        </w:rPr>
        <w:t xml:space="preserve">Сведения о предполагаемых методах </w:t>
      </w:r>
      <w:r>
        <w:rPr>
          <w:i w:val="0"/>
          <w:spacing w:val="2"/>
          <w:sz w:val="24"/>
        </w:rPr>
        <w:t>и методиках прогнозирования и оценки, которые будут использованы для ОВОС</w:t>
      </w:r>
    </w:p>
    <w:p w:rsidR="007E3FD7" w:rsidRDefault="001B5578">
      <w:pPr>
        <w:pStyle w:val="point"/>
        <w:ind w:firstLine="720"/>
      </w:pPr>
      <w:r>
        <w:t>При проведении ОВОС используется:</w:t>
      </w:r>
    </w:p>
    <w:p w:rsidR="007E3FD7" w:rsidRDefault="001B5578">
      <w:pPr>
        <w:pStyle w:val="point"/>
        <w:ind w:firstLine="720"/>
      </w:pPr>
      <w:r>
        <w:t>достоверная и актуальная исходная информация;</w:t>
      </w:r>
    </w:p>
    <w:p w:rsidR="007E3FD7" w:rsidRDefault="001B5578">
      <w:pPr>
        <w:ind w:firstLine="720"/>
        <w:jc w:val="both"/>
      </w:pPr>
      <w:r>
        <w:t xml:space="preserve">данные испытаний и измерений, выполненных лабораториями (испытательными центрами), аккредитованными в </w:t>
      </w:r>
      <w:r>
        <w:t>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:rsidR="007E3FD7" w:rsidRDefault="001B5578">
      <w:pPr>
        <w:ind w:firstLine="720"/>
        <w:jc w:val="both"/>
      </w:pPr>
      <w:r>
        <w:t>методы и методик</w:t>
      </w:r>
      <w:r>
        <w:t>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:rsidR="007E3FD7" w:rsidRDefault="001B5578">
      <w:pPr>
        <w:pStyle w:val="2"/>
        <w:numPr>
          <w:ilvl w:val="0"/>
          <w:numId w:val="1"/>
        </w:numPr>
        <w:tabs>
          <w:tab w:val="left" w:pos="993"/>
          <w:tab w:val="left" w:pos="1418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>
        <w:rPr>
          <w:i w:val="0"/>
          <w:spacing w:val="2"/>
          <w:sz w:val="24"/>
        </w:rPr>
        <w:t>Информация по следующим разделам будет приведена в отчете об ОВОС</w:t>
      </w:r>
      <w:r>
        <w:rPr>
          <w:b w:val="0"/>
          <w:i w:val="0"/>
          <w:spacing w:val="2"/>
          <w:sz w:val="24"/>
        </w:rPr>
        <w:t>:</w:t>
      </w:r>
    </w:p>
    <w:p w:rsidR="007E3FD7" w:rsidRDefault="001B5578">
      <w:pPr>
        <w:pStyle w:val="point"/>
        <w:ind w:firstLine="720"/>
      </w:pPr>
      <w:r>
        <w:t xml:space="preserve">"Существующее состояние окружающей </w:t>
      </w:r>
      <w:r>
        <w:t>среды, социально-экономические и иные условия";</w:t>
      </w:r>
    </w:p>
    <w:p w:rsidR="007E3FD7" w:rsidRDefault="001B5578">
      <w:pPr>
        <w:pStyle w:val="point"/>
        <w:ind w:firstLine="720"/>
      </w:pPr>
      <w:r>
        <w:t>"Предварительная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:rsidR="007E3FD7" w:rsidRDefault="001B5578">
      <w:pPr>
        <w:pStyle w:val="point"/>
        <w:ind w:firstLine="720"/>
      </w:pPr>
      <w:r>
        <w:t>"Предпол</w:t>
      </w:r>
      <w:r>
        <w:t>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:rsidR="007E3FD7" w:rsidRDefault="001B5578">
      <w:pPr>
        <w:pStyle w:val="point"/>
        <w:ind w:firstLine="720"/>
      </w:pPr>
      <w:r>
        <w:lastRenderedPageBreak/>
        <w:t xml:space="preserve">"Вероятные чрезвычайные и </w:t>
      </w:r>
      <w:proofErr w:type="spellStart"/>
      <w:r>
        <w:t>запроектные</w:t>
      </w:r>
      <w:proofErr w:type="spellEnd"/>
      <w:r>
        <w:t xml:space="preserve"> аварийные ситуации. Предполагаемые меры по их предупреждению, реагирова</w:t>
      </w:r>
      <w:r>
        <w:t>нию на них, ликвидации их последствий";</w:t>
      </w:r>
    </w:p>
    <w:p w:rsidR="007E3FD7" w:rsidRDefault="001B5578">
      <w:pPr>
        <w:pStyle w:val="point"/>
        <w:ind w:firstLine="720"/>
      </w:pPr>
      <w:r>
        <w:t xml:space="preserve">"Предложения о программе локального мониторинга окружающей среды и (или) необходимости проведения </w:t>
      </w:r>
      <w:proofErr w:type="spellStart"/>
      <w:r>
        <w:t>послепроектного</w:t>
      </w:r>
      <w:proofErr w:type="spellEnd"/>
      <w:r>
        <w:t xml:space="preserve"> анализа";</w:t>
      </w:r>
    </w:p>
    <w:p w:rsidR="007E3FD7" w:rsidRDefault="001B5578">
      <w:pPr>
        <w:pStyle w:val="point"/>
        <w:ind w:firstLine="720"/>
      </w:pPr>
      <w:r>
        <w:t>"Условия для проектирования объекта в целях обеспечения экологической безопасности планируем</w:t>
      </w:r>
      <w:r>
        <w:t>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</w:t>
      </w:r>
      <w:r>
        <w:t>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</w:t>
      </w:r>
      <w:r>
        <w:t>х ценностей и (при наличии) взаимосвязей между этими последствиями".</w:t>
      </w:r>
    </w:p>
    <w:p w:rsidR="007E3FD7" w:rsidRDefault="007E3FD7"/>
    <w:sectPr w:rsidR="007E3F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341E"/>
    <w:multiLevelType w:val="multilevel"/>
    <w:tmpl w:val="4E4D3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468A7"/>
    <w:rsid w:val="00025471"/>
    <w:rsid w:val="001772E0"/>
    <w:rsid w:val="001B5578"/>
    <w:rsid w:val="0021223F"/>
    <w:rsid w:val="00260258"/>
    <w:rsid w:val="003047C0"/>
    <w:rsid w:val="0036547A"/>
    <w:rsid w:val="003746FD"/>
    <w:rsid w:val="00442E9A"/>
    <w:rsid w:val="00481FF1"/>
    <w:rsid w:val="0052135B"/>
    <w:rsid w:val="006F71DC"/>
    <w:rsid w:val="007E3FD7"/>
    <w:rsid w:val="00857E76"/>
    <w:rsid w:val="008750F7"/>
    <w:rsid w:val="008B7CAF"/>
    <w:rsid w:val="008C1A38"/>
    <w:rsid w:val="008C6375"/>
    <w:rsid w:val="008C715B"/>
    <w:rsid w:val="009D11A4"/>
    <w:rsid w:val="009E7FC7"/>
    <w:rsid w:val="00A0393C"/>
    <w:rsid w:val="00A428E8"/>
    <w:rsid w:val="00A62812"/>
    <w:rsid w:val="00AF38FF"/>
    <w:rsid w:val="00B15645"/>
    <w:rsid w:val="00C43FA2"/>
    <w:rsid w:val="00C52489"/>
    <w:rsid w:val="00CA0637"/>
    <w:rsid w:val="00ED0757"/>
    <w:rsid w:val="00F306F7"/>
    <w:rsid w:val="2DE53CB4"/>
    <w:rsid w:val="2FF609A4"/>
    <w:rsid w:val="31C468A7"/>
    <w:rsid w:val="32FF1A09"/>
    <w:rsid w:val="6A2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69759"/>
  <w15:docId w15:val="{088F4B60-2699-410D-8D02-116F9AB3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ind w:firstLine="7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table" w:styleId="a6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qFormat/>
    <w:pPr>
      <w:ind w:firstLine="567"/>
      <w:jc w:val="both"/>
    </w:pPr>
  </w:style>
  <w:style w:type="table" w:customStyle="1" w:styleId="10">
    <w:name w:val="Сетка таблицы1"/>
    <w:basedOn w:val="a1"/>
    <w:uiPriority w:val="39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semiHidden/>
    <w:rPr>
      <w:rFonts w:ascii="Segoe UI" w:eastAsia="Times New Roman" w:hAnsi="Segoe UI" w:cs="Segoe UI"/>
      <w:sz w:val="18"/>
      <w:szCs w:val="18"/>
    </w:rPr>
  </w:style>
  <w:style w:type="table" w:customStyle="1" w:styleId="3">
    <w:name w:val="Сетка таблицы3"/>
    <w:basedOn w:val="a1"/>
    <w:uiPriority w:val="3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qFormat/>
    <w:rsid w:val="001B5578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Пикуленко</dc:creator>
  <cp:lastModifiedBy>Oksana</cp:lastModifiedBy>
  <cp:revision>3</cp:revision>
  <cp:lastPrinted>2021-08-06T10:39:00Z</cp:lastPrinted>
  <dcterms:created xsi:type="dcterms:W3CDTF">2021-12-09T09:02:00Z</dcterms:created>
  <dcterms:modified xsi:type="dcterms:W3CDTF">2021-12-20T10:40:00Z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0E2A58E2D041403EB12193FD682532F1</vt:lpwstr>
  </property>
</Properties>
</file>